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68F84" w14:textId="77777777" w:rsidR="00377D7E" w:rsidRPr="00361D5D" w:rsidRDefault="00BB3BAC" w:rsidP="00650EE6">
      <w:pPr>
        <w:spacing w:after="0" w:line="360" w:lineRule="auto"/>
        <w:jc w:val="center"/>
        <w:rPr>
          <w:rFonts w:ascii="Arial" w:hAnsi="Arial" w:cs="Arial"/>
          <w:b/>
          <w:bCs/>
          <w:sz w:val="32"/>
          <w:szCs w:val="32"/>
        </w:rPr>
      </w:pPr>
      <w:r w:rsidRPr="00361D5D">
        <w:rPr>
          <w:rFonts w:ascii="Arial" w:hAnsi="Arial" w:cs="Arial"/>
          <w:b/>
          <w:bCs/>
          <w:sz w:val="32"/>
          <w:szCs w:val="32"/>
        </w:rPr>
        <w:t>Empfehlungen der Verbände</w:t>
      </w:r>
    </w:p>
    <w:p w14:paraId="45C735A4" w14:textId="1BEB9F98" w:rsidR="00BB3BAC" w:rsidRPr="00361D5D" w:rsidRDefault="00BB3BAC" w:rsidP="00CD0528">
      <w:pPr>
        <w:spacing w:after="0" w:line="360" w:lineRule="auto"/>
        <w:jc w:val="center"/>
        <w:rPr>
          <w:rFonts w:ascii="Arial" w:hAnsi="Arial" w:cs="Arial"/>
          <w:b/>
          <w:bCs/>
          <w:sz w:val="32"/>
          <w:szCs w:val="32"/>
        </w:rPr>
      </w:pPr>
      <w:r w:rsidRPr="00361D5D">
        <w:rPr>
          <w:rFonts w:ascii="Arial" w:hAnsi="Arial" w:cs="Arial"/>
          <w:b/>
          <w:bCs/>
          <w:sz w:val="32"/>
          <w:szCs w:val="32"/>
        </w:rPr>
        <w:t xml:space="preserve">Bundesverband Finanzdienstleistung AfW e.V. </w:t>
      </w:r>
      <w:r w:rsidR="00650EE6" w:rsidRPr="00361D5D">
        <w:rPr>
          <w:rFonts w:ascii="Arial" w:hAnsi="Arial" w:cs="Arial"/>
          <w:b/>
          <w:bCs/>
          <w:sz w:val="32"/>
          <w:szCs w:val="32"/>
        </w:rPr>
        <w:t>und</w:t>
      </w:r>
      <w:r w:rsidR="002129DC">
        <w:rPr>
          <w:rFonts w:ascii="Arial" w:hAnsi="Arial" w:cs="Arial"/>
          <w:b/>
          <w:bCs/>
          <w:sz w:val="32"/>
          <w:szCs w:val="32"/>
        </w:rPr>
        <w:t xml:space="preserve"> </w:t>
      </w:r>
      <w:r w:rsidRPr="00361D5D">
        <w:rPr>
          <w:rFonts w:ascii="Arial" w:hAnsi="Arial" w:cs="Arial"/>
          <w:b/>
          <w:bCs/>
          <w:sz w:val="32"/>
          <w:szCs w:val="32"/>
        </w:rPr>
        <w:t>VOTUM zur praktischen Umsetzung der Pflichten nach der EU-Transparenzverordnung (TVO)</w:t>
      </w:r>
      <w:r w:rsidR="00153CA4" w:rsidRPr="00361D5D">
        <w:rPr>
          <w:rFonts w:ascii="Arial" w:hAnsi="Arial" w:cs="Arial"/>
          <w:b/>
          <w:bCs/>
          <w:sz w:val="32"/>
          <w:szCs w:val="32"/>
        </w:rPr>
        <w:t xml:space="preserve"> </w:t>
      </w:r>
      <w:r w:rsidR="00153CA4" w:rsidRPr="002129DC">
        <w:rPr>
          <w:rFonts w:ascii="Arial" w:hAnsi="Arial" w:cs="Arial"/>
          <w:b/>
          <w:bCs/>
          <w:sz w:val="32"/>
          <w:szCs w:val="32"/>
        </w:rPr>
        <w:t>ab dem 10.</w:t>
      </w:r>
      <w:r w:rsidR="00CA3B83">
        <w:rPr>
          <w:rFonts w:ascii="Arial" w:hAnsi="Arial" w:cs="Arial"/>
          <w:b/>
          <w:bCs/>
          <w:sz w:val="32"/>
          <w:szCs w:val="32"/>
        </w:rPr>
        <w:t xml:space="preserve"> März </w:t>
      </w:r>
      <w:r w:rsidR="00153CA4" w:rsidRPr="002129DC">
        <w:rPr>
          <w:rFonts w:ascii="Arial" w:hAnsi="Arial" w:cs="Arial"/>
          <w:b/>
          <w:bCs/>
          <w:sz w:val="32"/>
          <w:szCs w:val="32"/>
        </w:rPr>
        <w:t>2021</w:t>
      </w:r>
      <w:r w:rsidR="002129DC" w:rsidRPr="002129DC">
        <w:rPr>
          <w:rFonts w:ascii="Arial" w:hAnsi="Arial" w:cs="Arial"/>
          <w:b/>
          <w:bCs/>
          <w:sz w:val="32"/>
          <w:szCs w:val="32"/>
        </w:rPr>
        <w:t xml:space="preserve"> unter</w:t>
      </w:r>
      <w:r w:rsidR="002129DC">
        <w:rPr>
          <w:rFonts w:ascii="Arial" w:hAnsi="Arial" w:cs="Arial"/>
          <w:b/>
          <w:bCs/>
          <w:sz w:val="32"/>
          <w:szCs w:val="32"/>
        </w:rPr>
        <w:t xml:space="preserve"> Einbeziehung der Gesetzesänderung zum 01. Januar 2023</w:t>
      </w:r>
    </w:p>
    <w:p w14:paraId="03BAA926" w14:textId="6AB2545F" w:rsidR="00377D7E" w:rsidRPr="00361D5D" w:rsidRDefault="00377D7E" w:rsidP="00377D7E">
      <w:pPr>
        <w:spacing w:after="0" w:line="360" w:lineRule="auto"/>
        <w:rPr>
          <w:rFonts w:ascii="Arial" w:hAnsi="Arial" w:cs="Arial"/>
          <w:i/>
          <w:iCs/>
        </w:rPr>
      </w:pPr>
    </w:p>
    <w:p w14:paraId="7C283564" w14:textId="2D953AD6" w:rsidR="00650EE6" w:rsidRPr="00361D5D" w:rsidRDefault="00650EE6" w:rsidP="00377D7E">
      <w:pPr>
        <w:spacing w:after="0" w:line="360" w:lineRule="auto"/>
        <w:rPr>
          <w:rFonts w:ascii="Arial" w:hAnsi="Arial" w:cs="Arial"/>
          <w:i/>
          <w:iCs/>
        </w:rPr>
      </w:pPr>
    </w:p>
    <w:p w14:paraId="50FEE0CF" w14:textId="77777777" w:rsidR="00650EE6" w:rsidRPr="00361D5D" w:rsidRDefault="00650EE6" w:rsidP="00377D7E">
      <w:pPr>
        <w:spacing w:after="0" w:line="360" w:lineRule="auto"/>
        <w:rPr>
          <w:rFonts w:ascii="Arial" w:hAnsi="Arial" w:cs="Arial"/>
          <w:i/>
          <w:iCs/>
        </w:rPr>
      </w:pPr>
    </w:p>
    <w:p w14:paraId="2A0FF7EC" w14:textId="2AF7DBAA" w:rsidR="00DE382B" w:rsidRPr="00361D5D" w:rsidRDefault="00DE382B" w:rsidP="00377D7E">
      <w:pPr>
        <w:spacing w:after="0" w:line="360" w:lineRule="auto"/>
        <w:rPr>
          <w:rFonts w:ascii="Arial" w:hAnsi="Arial" w:cs="Arial"/>
          <w:b/>
          <w:bCs/>
          <w:i/>
          <w:iCs/>
          <w:u w:val="single"/>
        </w:rPr>
      </w:pPr>
      <w:r w:rsidRPr="00361D5D">
        <w:rPr>
          <w:rFonts w:ascii="Arial" w:hAnsi="Arial" w:cs="Arial"/>
          <w:b/>
          <w:bCs/>
          <w:i/>
          <w:iCs/>
          <w:u w:val="single"/>
        </w:rPr>
        <w:t xml:space="preserve">Hinweise zur Anwendung </w:t>
      </w:r>
    </w:p>
    <w:p w14:paraId="01B2DFD4" w14:textId="77777777" w:rsidR="00377D7E" w:rsidRPr="00361D5D" w:rsidRDefault="00377D7E" w:rsidP="00377D7E">
      <w:pPr>
        <w:spacing w:after="0" w:line="360" w:lineRule="auto"/>
        <w:rPr>
          <w:rFonts w:ascii="Arial" w:hAnsi="Arial" w:cs="Arial"/>
          <w:b/>
          <w:bCs/>
          <w:i/>
          <w:iCs/>
          <w:u w:val="single"/>
        </w:rPr>
      </w:pPr>
    </w:p>
    <w:p w14:paraId="3A5BFE1B" w14:textId="77777777" w:rsidR="00DE382B" w:rsidRPr="00361D5D" w:rsidRDefault="00DE382B" w:rsidP="00377D7E">
      <w:pPr>
        <w:pStyle w:val="Listenabsatz"/>
        <w:numPr>
          <w:ilvl w:val="0"/>
          <w:numId w:val="4"/>
        </w:numPr>
        <w:spacing w:line="360" w:lineRule="auto"/>
        <w:rPr>
          <w:rFonts w:ascii="Arial" w:hAnsi="Arial" w:cs="Arial"/>
          <w:i/>
          <w:iCs/>
          <w:sz w:val="22"/>
          <w:szCs w:val="22"/>
        </w:rPr>
      </w:pPr>
      <w:r w:rsidRPr="00361D5D">
        <w:rPr>
          <w:rFonts w:ascii="Arial" w:hAnsi="Arial" w:cs="Arial"/>
          <w:i/>
          <w:iCs/>
          <w:sz w:val="22"/>
          <w:szCs w:val="22"/>
        </w:rPr>
        <w:t xml:space="preserve">Die Berücksichtigung der nachfolgenden Empfehlungen und Hinweise zur TVO ist nicht kompliziert und leicht umsetzbar. Alle in diesem Dokument getroffenen Aussagen und Empfehlungen sind nach bestem Wissen getroffen, jedoch unverbindlich. Wir weisen darauf hin, dass es jederzeit zu Änderungen kommen kann. </w:t>
      </w:r>
    </w:p>
    <w:p w14:paraId="76301624" w14:textId="77777777" w:rsidR="00DE382B" w:rsidRPr="00361D5D" w:rsidRDefault="00DE382B" w:rsidP="00377D7E">
      <w:pPr>
        <w:pStyle w:val="Listenabsatz"/>
        <w:spacing w:line="360" w:lineRule="auto"/>
        <w:rPr>
          <w:rFonts w:ascii="Arial" w:hAnsi="Arial" w:cs="Arial"/>
          <w:i/>
          <w:iCs/>
          <w:sz w:val="22"/>
          <w:szCs w:val="22"/>
        </w:rPr>
      </w:pPr>
      <w:r w:rsidRPr="00361D5D">
        <w:rPr>
          <w:rFonts w:ascii="Arial" w:hAnsi="Arial" w:cs="Arial"/>
          <w:i/>
          <w:iCs/>
          <w:sz w:val="22"/>
          <w:szCs w:val="22"/>
        </w:rPr>
        <w:t>Es wird in den nächsten Monaten und Jahren zu dem Thema Nachhaltigkeit in der Finanz- und Versicherungsvermittlung noch zu diversen Anpassungen an regulatorische Vorgaben kommen. Wir empfehlen daher, das Thema immer präsent zu behalten. Wir werden über wesentliche Änderungen informieren.</w:t>
      </w:r>
    </w:p>
    <w:p w14:paraId="2DCE5618" w14:textId="77777777" w:rsidR="00DE382B" w:rsidRPr="00361D5D" w:rsidRDefault="00DE382B" w:rsidP="00377D7E">
      <w:pPr>
        <w:spacing w:after="0" w:line="360" w:lineRule="auto"/>
        <w:rPr>
          <w:rFonts w:ascii="Arial" w:hAnsi="Arial" w:cs="Arial"/>
          <w:i/>
          <w:iCs/>
        </w:rPr>
      </w:pPr>
    </w:p>
    <w:p w14:paraId="5FC9A9AA" w14:textId="6A08B6D4" w:rsidR="00DE382B" w:rsidRPr="00361D5D" w:rsidRDefault="00DE382B" w:rsidP="00377D7E">
      <w:pPr>
        <w:pStyle w:val="Listenabsatz"/>
        <w:numPr>
          <w:ilvl w:val="0"/>
          <w:numId w:val="4"/>
        </w:numPr>
        <w:spacing w:line="360" w:lineRule="auto"/>
        <w:rPr>
          <w:rFonts w:ascii="Arial" w:hAnsi="Arial" w:cs="Arial"/>
          <w:i/>
          <w:iCs/>
          <w:sz w:val="22"/>
          <w:szCs w:val="22"/>
        </w:rPr>
      </w:pPr>
      <w:r w:rsidRPr="00361D5D">
        <w:rPr>
          <w:rFonts w:ascii="Arial" w:hAnsi="Arial" w:cs="Arial"/>
          <w:i/>
          <w:iCs/>
          <w:sz w:val="22"/>
          <w:szCs w:val="22"/>
        </w:rPr>
        <w:t xml:space="preserve">Die Pflichten nach der </w:t>
      </w:r>
      <w:hyperlink r:id="rId10" w:history="1">
        <w:r w:rsidRPr="00C80051">
          <w:rPr>
            <w:rStyle w:val="Hyperlink"/>
            <w:rFonts w:ascii="Arial" w:hAnsi="Arial" w:cs="Arial"/>
            <w:i/>
            <w:iCs/>
            <w:sz w:val="22"/>
            <w:szCs w:val="22"/>
          </w:rPr>
          <w:t xml:space="preserve">Transparenzverordnung </w:t>
        </w:r>
        <w:r w:rsidRPr="00C80051">
          <w:rPr>
            <w:rStyle w:val="Hyperlink"/>
          </w:rPr>
          <w:t>(LINK)</w:t>
        </w:r>
      </w:hyperlink>
      <w:r w:rsidR="00AB1B9B">
        <w:t xml:space="preserve"> </w:t>
      </w:r>
      <w:r w:rsidR="00AB1B9B" w:rsidRPr="00352492">
        <w:rPr>
          <w:rFonts w:ascii="Arial" w:hAnsi="Arial" w:cs="Arial"/>
          <w:i/>
          <w:iCs/>
          <w:sz w:val="22"/>
          <w:szCs w:val="22"/>
        </w:rPr>
        <w:t xml:space="preserve">und </w:t>
      </w:r>
      <w:r w:rsidR="00352492" w:rsidRPr="00352492">
        <w:rPr>
          <w:rFonts w:ascii="Arial" w:hAnsi="Arial" w:cs="Arial"/>
          <w:i/>
          <w:iCs/>
          <w:sz w:val="22"/>
          <w:szCs w:val="22"/>
        </w:rPr>
        <w:t xml:space="preserve">der </w:t>
      </w:r>
      <w:hyperlink r:id="rId11" w:history="1">
        <w:r w:rsidR="00352492" w:rsidRPr="00C80051">
          <w:rPr>
            <w:rStyle w:val="Hyperlink"/>
            <w:rFonts w:ascii="Arial" w:hAnsi="Arial" w:cs="Arial"/>
            <w:i/>
            <w:iCs/>
            <w:sz w:val="22"/>
            <w:szCs w:val="22"/>
          </w:rPr>
          <w:t>Ergänzung</w:t>
        </w:r>
        <w:r w:rsidR="00352492" w:rsidRPr="00C80051">
          <w:rPr>
            <w:rStyle w:val="Hyperlink"/>
          </w:rPr>
          <w:t xml:space="preserve"> (LINK)</w:t>
        </w:r>
      </w:hyperlink>
      <w:r w:rsidRPr="00AB1B9B">
        <w:rPr>
          <w:rFonts w:ascii="Arial" w:hAnsi="Arial" w:cs="Arial"/>
          <w:i/>
          <w:iCs/>
          <w:sz w:val="22"/>
          <w:szCs w:val="22"/>
        </w:rPr>
        <w:t xml:space="preserve"> gelten</w:t>
      </w:r>
      <w:r w:rsidRPr="00361D5D">
        <w:rPr>
          <w:rFonts w:ascii="Arial" w:hAnsi="Arial" w:cs="Arial"/>
          <w:i/>
          <w:iCs/>
          <w:sz w:val="22"/>
          <w:szCs w:val="22"/>
        </w:rPr>
        <w:t xml:space="preserve"> bei Vermittlung von Finanzanlageprodukten und/oder Versicherungsanlageprodukten.</w:t>
      </w:r>
      <w:r w:rsidR="004C576B" w:rsidRPr="00361D5D">
        <w:rPr>
          <w:rFonts w:ascii="Arial" w:hAnsi="Arial" w:cs="Arial"/>
          <w:i/>
          <w:iCs/>
          <w:sz w:val="22"/>
          <w:szCs w:val="22"/>
        </w:rPr>
        <w:t xml:space="preserve"> </w:t>
      </w:r>
      <w:r w:rsidR="004C576B" w:rsidRPr="00361D5D">
        <w:rPr>
          <w:rFonts w:ascii="Arial" w:hAnsi="Arial" w:cs="Arial"/>
          <w:i/>
          <w:iCs/>
          <w:color w:val="000000"/>
          <w:sz w:val="22"/>
          <w:szCs w:val="22"/>
        </w:rPr>
        <w:t>Ausschließlich für 34f-Vermittler gelten diese aufgrund eines gesetzgeberischen Missstands nicht. Dieser seit Einführung der TVO im März 2021 bestehende Missstand wurde bisher nicht behoben. Finanzanlagevermittler nach 34f GewO können die aus der TVO entstehenden Informationspflichten auf freiwilliger Basis erfüllen.</w:t>
      </w:r>
      <w:r w:rsidR="00C5552D">
        <w:rPr>
          <w:rFonts w:ascii="Arial" w:hAnsi="Arial" w:cs="Arial"/>
          <w:i/>
          <w:iCs/>
          <w:color w:val="000000"/>
          <w:sz w:val="22"/>
          <w:szCs w:val="22"/>
        </w:rPr>
        <w:br/>
      </w:r>
    </w:p>
    <w:p w14:paraId="56ECB236" w14:textId="77777777" w:rsidR="00DE382B" w:rsidRPr="00361D5D" w:rsidRDefault="00DE382B" w:rsidP="00377D7E">
      <w:pPr>
        <w:spacing w:after="0" w:line="360" w:lineRule="auto"/>
        <w:rPr>
          <w:rFonts w:ascii="Arial" w:hAnsi="Arial" w:cs="Arial"/>
          <w:i/>
          <w:iCs/>
        </w:rPr>
      </w:pPr>
    </w:p>
    <w:p w14:paraId="517D93BD" w14:textId="77777777" w:rsidR="00DE382B" w:rsidRPr="00361D5D" w:rsidRDefault="00DE382B" w:rsidP="00377D7E">
      <w:pPr>
        <w:pStyle w:val="Listenabsatz"/>
        <w:numPr>
          <w:ilvl w:val="0"/>
          <w:numId w:val="4"/>
        </w:numPr>
        <w:spacing w:line="360" w:lineRule="auto"/>
        <w:rPr>
          <w:rFonts w:ascii="Arial" w:hAnsi="Arial" w:cs="Arial"/>
          <w:i/>
          <w:iCs/>
          <w:sz w:val="22"/>
          <w:szCs w:val="22"/>
        </w:rPr>
      </w:pPr>
      <w:r w:rsidRPr="00361D5D">
        <w:rPr>
          <w:rFonts w:ascii="Arial" w:hAnsi="Arial" w:cs="Arial"/>
          <w:i/>
          <w:iCs/>
          <w:sz w:val="22"/>
          <w:szCs w:val="22"/>
        </w:rPr>
        <w:lastRenderedPageBreak/>
        <w:t>Die Pflichten nach der TVO gelten nur, wenn Beratung angeboten wird (Art.2 Nr. 11 TVO).</w:t>
      </w:r>
    </w:p>
    <w:p w14:paraId="5999967F" w14:textId="77777777" w:rsidR="00DE382B" w:rsidRPr="00361D5D" w:rsidRDefault="00DE382B" w:rsidP="00377D7E">
      <w:pPr>
        <w:pStyle w:val="Listenabsatz"/>
        <w:spacing w:line="360" w:lineRule="auto"/>
        <w:rPr>
          <w:rFonts w:ascii="Arial" w:hAnsi="Arial" w:cs="Arial"/>
          <w:i/>
          <w:iCs/>
          <w:sz w:val="22"/>
          <w:szCs w:val="22"/>
        </w:rPr>
      </w:pPr>
      <w:r w:rsidRPr="00361D5D">
        <w:rPr>
          <w:rFonts w:ascii="Arial" w:hAnsi="Arial" w:cs="Arial"/>
          <w:i/>
          <w:iCs/>
          <w:sz w:val="22"/>
          <w:szCs w:val="22"/>
        </w:rPr>
        <w:t xml:space="preserve">Die Unterscheidung zwischen Vermittlung und Beratung werden wir hier nicht weiter berücksichtigen. Wir gehen von dem regelmäßigen Fall aus, dass jeweils Beratung angeboten wird. </w:t>
      </w:r>
    </w:p>
    <w:p w14:paraId="742F61FF" w14:textId="77777777" w:rsidR="00DE382B" w:rsidRPr="00361D5D" w:rsidRDefault="00DE382B" w:rsidP="00377D7E">
      <w:pPr>
        <w:spacing w:after="0" w:line="360" w:lineRule="auto"/>
        <w:rPr>
          <w:rFonts w:ascii="Arial" w:hAnsi="Arial" w:cs="Arial"/>
          <w:i/>
          <w:iCs/>
        </w:rPr>
      </w:pPr>
    </w:p>
    <w:p w14:paraId="58CF6800" w14:textId="6EC46B33" w:rsidR="00DE382B" w:rsidRPr="00361D5D" w:rsidRDefault="00DE382B" w:rsidP="00377D7E">
      <w:pPr>
        <w:pStyle w:val="Listenabsatz"/>
        <w:numPr>
          <w:ilvl w:val="0"/>
          <w:numId w:val="4"/>
        </w:numPr>
        <w:spacing w:line="360" w:lineRule="auto"/>
        <w:rPr>
          <w:rFonts w:ascii="Arial" w:hAnsi="Arial" w:cs="Arial"/>
          <w:i/>
          <w:iCs/>
          <w:sz w:val="22"/>
          <w:szCs w:val="22"/>
        </w:rPr>
      </w:pPr>
      <w:r w:rsidRPr="00361D5D">
        <w:rPr>
          <w:rFonts w:ascii="Arial" w:hAnsi="Arial" w:cs="Arial"/>
          <w:i/>
          <w:iCs/>
          <w:sz w:val="22"/>
          <w:szCs w:val="22"/>
        </w:rPr>
        <w:t xml:space="preserve">Mit den nachfolgend verwandten Begrifflichkeiten wird sich an der TVO orientiert. So heißt es z.B. durchgehend </w:t>
      </w:r>
      <w:r w:rsidR="00B261C9" w:rsidRPr="00361D5D">
        <w:rPr>
          <w:rFonts w:ascii="Arial" w:hAnsi="Arial" w:cs="Arial"/>
          <w:i/>
          <w:iCs/>
          <w:sz w:val="22"/>
          <w:szCs w:val="22"/>
        </w:rPr>
        <w:t>f</w:t>
      </w:r>
      <w:r w:rsidR="00B261C9" w:rsidRPr="00361D5D">
        <w:rPr>
          <w:rFonts w:ascii="Arial" w:hAnsi="Arial" w:cs="Arial"/>
          <w:i/>
          <w:iCs/>
          <w:color w:val="000000"/>
          <w:sz w:val="22"/>
          <w:szCs w:val="22"/>
        </w:rPr>
        <w:t>ür alle Adressaten im Vermittlungsbereich</w:t>
      </w:r>
      <w:r w:rsidR="00B261C9" w:rsidRPr="00361D5D">
        <w:rPr>
          <w:rFonts w:ascii="Arial" w:hAnsi="Arial" w:cs="Arial"/>
          <w:i/>
          <w:iCs/>
          <w:sz w:val="22"/>
          <w:szCs w:val="22"/>
        </w:rPr>
        <w:t xml:space="preserve"> </w:t>
      </w:r>
      <w:r w:rsidRPr="00361D5D">
        <w:rPr>
          <w:rFonts w:ascii="Arial" w:hAnsi="Arial" w:cs="Arial"/>
          <w:i/>
          <w:iCs/>
          <w:sz w:val="22"/>
          <w:szCs w:val="22"/>
        </w:rPr>
        <w:t>„Finanzberater“</w:t>
      </w:r>
      <w:r w:rsidR="00C9235B" w:rsidRPr="00361D5D">
        <w:rPr>
          <w:rFonts w:ascii="Arial" w:hAnsi="Arial" w:cs="Arial"/>
          <w:i/>
          <w:iCs/>
          <w:sz w:val="22"/>
          <w:szCs w:val="22"/>
        </w:rPr>
        <w:t>.</w:t>
      </w:r>
    </w:p>
    <w:p w14:paraId="27D5A54A" w14:textId="77777777" w:rsidR="00DE382B" w:rsidRPr="00361D5D" w:rsidRDefault="00DE382B" w:rsidP="00377D7E">
      <w:pPr>
        <w:spacing w:after="0" w:line="360" w:lineRule="auto"/>
        <w:rPr>
          <w:rFonts w:ascii="Arial" w:hAnsi="Arial" w:cs="Arial"/>
          <w:i/>
          <w:iCs/>
        </w:rPr>
      </w:pPr>
    </w:p>
    <w:p w14:paraId="4A32C0D4" w14:textId="77777777" w:rsidR="00DE382B" w:rsidRPr="00361D5D" w:rsidRDefault="00DE382B" w:rsidP="00377D7E">
      <w:pPr>
        <w:pStyle w:val="Listenabsatz"/>
        <w:numPr>
          <w:ilvl w:val="0"/>
          <w:numId w:val="4"/>
        </w:numPr>
        <w:spacing w:line="360" w:lineRule="auto"/>
        <w:rPr>
          <w:rFonts w:ascii="Arial" w:hAnsi="Arial" w:cs="Arial"/>
          <w:i/>
          <w:iCs/>
          <w:sz w:val="22"/>
          <w:szCs w:val="22"/>
        </w:rPr>
      </w:pPr>
      <w:r w:rsidRPr="00361D5D">
        <w:rPr>
          <w:rFonts w:ascii="Arial" w:hAnsi="Arial" w:cs="Arial"/>
          <w:i/>
          <w:iCs/>
          <w:sz w:val="22"/>
          <w:szCs w:val="22"/>
        </w:rPr>
        <w:t xml:space="preserve">Der Umstand, dass Finanzberater, die weniger als drei Personen beschäftigen, von der Anwendung der Verordnung (Artikel 17 Absatz 1 TVO) ausgenommen sind, ist bekannt, wird hier jedoch nicht weiter berücksichtigt. </w:t>
      </w:r>
    </w:p>
    <w:p w14:paraId="301683AF" w14:textId="77777777" w:rsidR="00377D7E" w:rsidRPr="00361D5D" w:rsidRDefault="00377D7E" w:rsidP="00377D7E">
      <w:pPr>
        <w:spacing w:after="0" w:line="360" w:lineRule="auto"/>
        <w:rPr>
          <w:rFonts w:ascii="Arial" w:hAnsi="Arial" w:cs="Arial"/>
          <w:i/>
          <w:iCs/>
        </w:rPr>
      </w:pPr>
    </w:p>
    <w:p w14:paraId="13B4C621" w14:textId="2E7F6399" w:rsidR="00DE382B" w:rsidRPr="00361D5D" w:rsidRDefault="00DE382B" w:rsidP="00377D7E">
      <w:pPr>
        <w:pStyle w:val="Listenabsatz"/>
        <w:numPr>
          <w:ilvl w:val="0"/>
          <w:numId w:val="4"/>
        </w:numPr>
        <w:spacing w:line="360" w:lineRule="auto"/>
        <w:rPr>
          <w:rFonts w:ascii="Arial" w:hAnsi="Arial" w:cs="Arial"/>
          <w:i/>
          <w:iCs/>
          <w:sz w:val="22"/>
          <w:szCs w:val="22"/>
        </w:rPr>
      </w:pPr>
      <w:r w:rsidRPr="00361D5D">
        <w:rPr>
          <w:rFonts w:ascii="Arial" w:hAnsi="Arial" w:cs="Arial"/>
          <w:i/>
          <w:iCs/>
          <w:sz w:val="22"/>
          <w:szCs w:val="22"/>
        </w:rPr>
        <w:t>Die Pflichten für Sie aus der TVO unterscheiden zwischen</w:t>
      </w:r>
    </w:p>
    <w:p w14:paraId="30047AF4" w14:textId="77777777" w:rsidR="00377D7E" w:rsidRPr="00361D5D" w:rsidRDefault="00377D7E" w:rsidP="00377D7E">
      <w:pPr>
        <w:pStyle w:val="Listenabsatz"/>
        <w:spacing w:line="360" w:lineRule="auto"/>
        <w:rPr>
          <w:rFonts w:ascii="Arial" w:hAnsi="Arial" w:cs="Arial"/>
          <w:i/>
          <w:iCs/>
          <w:sz w:val="22"/>
          <w:szCs w:val="22"/>
        </w:rPr>
      </w:pPr>
    </w:p>
    <w:p w14:paraId="1921A334" w14:textId="77777777" w:rsidR="00DE382B" w:rsidRPr="00361D5D" w:rsidRDefault="00DE382B" w:rsidP="00377D7E">
      <w:pPr>
        <w:pStyle w:val="Listenabsatz"/>
        <w:numPr>
          <w:ilvl w:val="0"/>
          <w:numId w:val="5"/>
        </w:numPr>
        <w:spacing w:line="360" w:lineRule="auto"/>
        <w:rPr>
          <w:rFonts w:ascii="Arial" w:hAnsi="Arial" w:cs="Arial"/>
          <w:i/>
          <w:iCs/>
          <w:sz w:val="22"/>
          <w:szCs w:val="22"/>
        </w:rPr>
      </w:pPr>
      <w:r w:rsidRPr="00361D5D">
        <w:rPr>
          <w:rFonts w:ascii="Arial" w:hAnsi="Arial" w:cs="Arial"/>
          <w:i/>
          <w:iCs/>
          <w:sz w:val="22"/>
          <w:szCs w:val="22"/>
        </w:rPr>
        <w:t xml:space="preserve">Informationspflichten im Rahmen des eigenen </w:t>
      </w:r>
      <w:r w:rsidRPr="00361D5D">
        <w:rPr>
          <w:rFonts w:ascii="Arial" w:hAnsi="Arial" w:cs="Arial"/>
          <w:i/>
          <w:iCs/>
          <w:sz w:val="22"/>
          <w:szCs w:val="22"/>
          <w:u w:val="single"/>
        </w:rPr>
        <w:t>Internetauftritts</w:t>
      </w:r>
      <w:r w:rsidRPr="00361D5D">
        <w:rPr>
          <w:rFonts w:ascii="Arial" w:hAnsi="Arial" w:cs="Arial"/>
          <w:i/>
          <w:iCs/>
          <w:sz w:val="22"/>
          <w:szCs w:val="22"/>
        </w:rPr>
        <w:t xml:space="preserve"> und</w:t>
      </w:r>
    </w:p>
    <w:p w14:paraId="3A7EB2BF" w14:textId="047C0972" w:rsidR="00DE382B" w:rsidRPr="00361D5D" w:rsidRDefault="00DE382B" w:rsidP="00377D7E">
      <w:pPr>
        <w:pStyle w:val="Listenabsatz"/>
        <w:numPr>
          <w:ilvl w:val="0"/>
          <w:numId w:val="5"/>
        </w:numPr>
        <w:spacing w:line="360" w:lineRule="auto"/>
        <w:rPr>
          <w:rFonts w:ascii="Arial" w:hAnsi="Arial" w:cs="Arial"/>
          <w:i/>
          <w:iCs/>
          <w:sz w:val="22"/>
          <w:szCs w:val="22"/>
        </w:rPr>
      </w:pPr>
      <w:r w:rsidRPr="00361D5D">
        <w:rPr>
          <w:rFonts w:ascii="Arial" w:hAnsi="Arial" w:cs="Arial"/>
          <w:i/>
          <w:iCs/>
          <w:sz w:val="22"/>
          <w:szCs w:val="22"/>
        </w:rPr>
        <w:t xml:space="preserve">vorvertraglichen Informationspflichten im Rahmen der </w:t>
      </w:r>
      <w:r w:rsidRPr="00361D5D">
        <w:rPr>
          <w:rFonts w:ascii="Arial" w:hAnsi="Arial" w:cs="Arial"/>
          <w:i/>
          <w:iCs/>
          <w:sz w:val="22"/>
          <w:szCs w:val="22"/>
          <w:u w:val="single"/>
        </w:rPr>
        <w:t>Beratungsdokumentation</w:t>
      </w:r>
      <w:r w:rsidRPr="00361D5D">
        <w:rPr>
          <w:rFonts w:ascii="Arial" w:hAnsi="Arial" w:cs="Arial"/>
          <w:i/>
          <w:iCs/>
          <w:sz w:val="22"/>
          <w:szCs w:val="22"/>
        </w:rPr>
        <w:t xml:space="preserve">. </w:t>
      </w:r>
    </w:p>
    <w:p w14:paraId="258305B9" w14:textId="77777777" w:rsidR="00377D7E" w:rsidRPr="00361D5D" w:rsidRDefault="00377D7E" w:rsidP="00377D7E">
      <w:pPr>
        <w:pStyle w:val="Listenabsatz"/>
        <w:spacing w:line="360" w:lineRule="auto"/>
        <w:ind w:left="1440"/>
        <w:rPr>
          <w:rFonts w:ascii="Arial" w:hAnsi="Arial" w:cs="Arial"/>
          <w:i/>
          <w:iCs/>
          <w:sz w:val="22"/>
          <w:szCs w:val="22"/>
        </w:rPr>
      </w:pPr>
    </w:p>
    <w:p w14:paraId="62B8DF81" w14:textId="77777777" w:rsidR="00DE382B" w:rsidRPr="00361D5D" w:rsidRDefault="00DE382B" w:rsidP="00377D7E">
      <w:pPr>
        <w:pStyle w:val="Listenabsatz"/>
        <w:spacing w:line="360" w:lineRule="auto"/>
        <w:rPr>
          <w:rFonts w:ascii="Arial" w:hAnsi="Arial" w:cs="Arial"/>
          <w:i/>
          <w:iCs/>
          <w:sz w:val="22"/>
          <w:szCs w:val="22"/>
        </w:rPr>
      </w:pPr>
      <w:r w:rsidRPr="00361D5D">
        <w:rPr>
          <w:rFonts w:ascii="Arial" w:hAnsi="Arial" w:cs="Arial"/>
          <w:i/>
          <w:iCs/>
          <w:sz w:val="22"/>
          <w:szCs w:val="22"/>
        </w:rPr>
        <w:t>Nachstehend wird jeweils konkret darauf hingewiesen, an welchem Ort die Information zu erfolgen hat.</w:t>
      </w:r>
    </w:p>
    <w:p w14:paraId="69633F56" w14:textId="77777777" w:rsidR="00DE382B" w:rsidRPr="00361D5D" w:rsidRDefault="00DE382B" w:rsidP="00377D7E">
      <w:pPr>
        <w:spacing w:after="0" w:line="360" w:lineRule="auto"/>
        <w:rPr>
          <w:rFonts w:ascii="Arial" w:hAnsi="Arial" w:cs="Arial"/>
          <w:i/>
          <w:iCs/>
        </w:rPr>
      </w:pPr>
    </w:p>
    <w:p w14:paraId="6A8EB9A4" w14:textId="6FF352CC" w:rsidR="005C16E8" w:rsidRDefault="00DE382B" w:rsidP="00377D7E">
      <w:pPr>
        <w:pStyle w:val="Listenabsatz"/>
        <w:numPr>
          <w:ilvl w:val="0"/>
          <w:numId w:val="4"/>
        </w:numPr>
        <w:spacing w:line="360" w:lineRule="auto"/>
        <w:rPr>
          <w:rFonts w:ascii="Arial" w:hAnsi="Arial" w:cs="Arial"/>
          <w:i/>
          <w:iCs/>
          <w:sz w:val="22"/>
          <w:szCs w:val="22"/>
        </w:rPr>
      </w:pPr>
      <w:r w:rsidRPr="00361D5D">
        <w:rPr>
          <w:rFonts w:ascii="Arial" w:hAnsi="Arial" w:cs="Arial"/>
          <w:i/>
          <w:iCs/>
          <w:sz w:val="22"/>
          <w:szCs w:val="22"/>
        </w:rPr>
        <w:t xml:space="preserve">Wenn die Verpflichtung von </w:t>
      </w:r>
      <w:r w:rsidRPr="00EE5A17">
        <w:rPr>
          <w:rFonts w:ascii="Arial" w:hAnsi="Arial" w:cs="Arial"/>
          <w:i/>
          <w:iCs/>
          <w:sz w:val="22"/>
          <w:szCs w:val="22"/>
        </w:rPr>
        <w:t xml:space="preserve">Kundeninformationen auf der eigenen Internetseite besteht, gilt: Keine Internetseite – keine Pflicht. Es besteht auch keine Pflicht, hierfür extra eine Internetseite einzurichten. </w:t>
      </w:r>
      <w:r w:rsidRPr="005E237A">
        <w:rPr>
          <w:rFonts w:ascii="Arial" w:hAnsi="Arial" w:cs="Arial"/>
          <w:i/>
          <w:iCs/>
          <w:sz w:val="22"/>
          <w:szCs w:val="22"/>
        </w:rPr>
        <w:t>Die Informationen können im Impressum oder auch einem extra ESG-Reiter, ESG-Info-Button, einer „Nachhaltigkeitsinformation“ o.ä. dargestellt werden</w:t>
      </w:r>
      <w:r w:rsidR="001A68EA">
        <w:rPr>
          <w:rFonts w:ascii="Arial" w:hAnsi="Arial" w:cs="Arial"/>
          <w:i/>
          <w:iCs/>
          <w:sz w:val="22"/>
          <w:szCs w:val="22"/>
        </w:rPr>
        <w:t xml:space="preserve">. </w:t>
      </w:r>
      <w:r w:rsidR="00E570C8">
        <w:rPr>
          <w:rFonts w:ascii="Arial" w:hAnsi="Arial" w:cs="Arial"/>
          <w:i/>
          <w:iCs/>
          <w:sz w:val="22"/>
          <w:szCs w:val="22"/>
        </w:rPr>
        <w:t xml:space="preserve">Seit </w:t>
      </w:r>
      <w:r w:rsidR="00EE5A17" w:rsidRPr="00EE5A17">
        <w:rPr>
          <w:rFonts w:ascii="Arial" w:hAnsi="Arial" w:cs="Arial"/>
          <w:i/>
          <w:iCs/>
          <w:sz w:val="22"/>
          <w:szCs w:val="22"/>
        </w:rPr>
        <w:t>01. Januar 2023 müssen in einem</w:t>
      </w:r>
      <w:r w:rsidR="00EE5A17" w:rsidRPr="00EE5A17">
        <w:t xml:space="preserve"> </w:t>
      </w:r>
      <w:r w:rsidR="00EE5A17" w:rsidRPr="00EE5A17">
        <w:rPr>
          <w:rFonts w:ascii="Arial" w:hAnsi="Arial" w:cs="Arial"/>
          <w:i/>
          <w:iCs/>
          <w:sz w:val="22"/>
          <w:szCs w:val="22"/>
        </w:rPr>
        <w:t xml:space="preserve">gesonderten Abschnitt </w:t>
      </w:r>
      <w:r w:rsidR="009B3502">
        <w:rPr>
          <w:rFonts w:ascii="Arial" w:hAnsi="Arial" w:cs="Arial"/>
          <w:i/>
          <w:iCs/>
          <w:sz w:val="22"/>
          <w:szCs w:val="22"/>
        </w:rPr>
        <w:t xml:space="preserve">der Kundeninformationen auf der Internetseite </w:t>
      </w:r>
      <w:r w:rsidR="00EE5A17" w:rsidRPr="00EE5A17">
        <w:rPr>
          <w:rFonts w:ascii="Arial" w:hAnsi="Arial" w:cs="Arial"/>
          <w:i/>
          <w:iCs/>
          <w:sz w:val="22"/>
          <w:szCs w:val="22"/>
        </w:rPr>
        <w:t xml:space="preserve">mit der </w:t>
      </w:r>
      <w:r w:rsidR="00674727">
        <w:rPr>
          <w:rFonts w:ascii="Arial" w:hAnsi="Arial" w:cs="Arial"/>
          <w:i/>
          <w:iCs/>
          <w:sz w:val="22"/>
          <w:szCs w:val="22"/>
        </w:rPr>
        <w:t xml:space="preserve">zwingend </w:t>
      </w:r>
      <w:r w:rsidR="009B3502">
        <w:rPr>
          <w:rFonts w:ascii="Arial" w:hAnsi="Arial" w:cs="Arial"/>
          <w:i/>
          <w:iCs/>
          <w:sz w:val="22"/>
          <w:szCs w:val="22"/>
        </w:rPr>
        <w:t xml:space="preserve">vorgegebenen </w:t>
      </w:r>
      <w:r w:rsidR="00EE5A17" w:rsidRPr="00EE5A17">
        <w:rPr>
          <w:rFonts w:ascii="Arial" w:hAnsi="Arial" w:cs="Arial"/>
          <w:i/>
          <w:iCs/>
          <w:sz w:val="22"/>
          <w:szCs w:val="22"/>
        </w:rPr>
        <w:t>Überschrift „Erklärung über die Berücksichtigung der wichtigsten nachteiligen Auswirkungen auf Nachhaltigkeitsfaktoren bei der Anlageberatung“ gesonderte Informationen erteilt werden.</w:t>
      </w:r>
      <w:r w:rsidR="00674727">
        <w:rPr>
          <w:rFonts w:ascii="Arial" w:hAnsi="Arial" w:cs="Arial"/>
          <w:i/>
          <w:iCs/>
          <w:sz w:val="22"/>
          <w:szCs w:val="22"/>
        </w:rPr>
        <w:br/>
      </w:r>
    </w:p>
    <w:p w14:paraId="5EB78366" w14:textId="7BC14AE2" w:rsidR="00674727" w:rsidRPr="001F6BD1" w:rsidRDefault="00674727" w:rsidP="00674727">
      <w:pPr>
        <w:pStyle w:val="Listenabsatz"/>
        <w:numPr>
          <w:ilvl w:val="0"/>
          <w:numId w:val="4"/>
        </w:numPr>
        <w:spacing w:line="360" w:lineRule="auto"/>
        <w:rPr>
          <w:rFonts w:ascii="Arial" w:hAnsi="Arial" w:cs="Arial"/>
          <w:i/>
          <w:iCs/>
          <w:sz w:val="22"/>
          <w:szCs w:val="22"/>
        </w:rPr>
      </w:pPr>
      <w:bookmarkStart w:id="0" w:name="_Hlk125719180"/>
      <w:r w:rsidRPr="001F6BD1">
        <w:rPr>
          <w:rFonts w:ascii="Arial" w:hAnsi="Arial" w:cs="Arial"/>
          <w:b/>
          <w:bCs/>
          <w:i/>
          <w:iCs/>
          <w:sz w:val="22"/>
          <w:szCs w:val="22"/>
        </w:rPr>
        <w:lastRenderedPageBreak/>
        <w:t>Ist eine Nicht-Berücksichtigung von nachteiligen Auswirkungen auf Nachhaltigkeitsfaktoren durch den Berater möglich?</w:t>
      </w:r>
      <w:bookmarkEnd w:id="0"/>
      <w:r w:rsidRPr="001F6BD1">
        <w:rPr>
          <w:rFonts w:ascii="Arial" w:hAnsi="Arial" w:cs="Arial"/>
          <w:b/>
          <w:bCs/>
          <w:i/>
          <w:iCs/>
          <w:sz w:val="22"/>
          <w:szCs w:val="22"/>
        </w:rPr>
        <w:br/>
      </w:r>
      <w:r w:rsidRPr="001F6BD1">
        <w:rPr>
          <w:rFonts w:ascii="Arial" w:hAnsi="Arial" w:cs="Arial"/>
          <w:i/>
          <w:iCs/>
          <w:sz w:val="22"/>
          <w:szCs w:val="22"/>
        </w:rPr>
        <w:t>Einen Mustertext für den Fall, dass gemäß Artikel 13 der TVO-Ergänzung vom 01. Januar 2023 nachteilige Auswirkungen der Investitionsentscheidungen des Kunden auf Nachhaltigkeitsfaktoren nicht berücksichtigt worden, stellen die Verbände AfW und VOTUM bewusst nicht zur Verfügung, da wir einen Widerspruch zu der grundsätzlichen Verpflichtung sehen, die Nachhaltigkeitspräferenzen des Kunden auch in Bezug auf Nachhaltigkeitsfaktoren zu ermitteln. Gemäß Art. 2 Abs. 4 der Delegierten Verordnung 2021/1257 zur IDD sowie Art. 2 Abs. 7 der Delegierten Verordnung 2021/1253 zur MiFID II ist der Berater ausdrücklich verpflichtet, die Nachhaltigkeitspräferenzen des Kunden auch in Hinblick auf nachteilige Auswirkungen der Investitionsentscheidung auf Nachhaltigkeitsfaktoren zu erfragen. Dies steht im Widerspruch zur in Artikel 13 der TVO-Ergänzung vom 01. Januar 2023 angeführten Option der Nicht-Berücksichtigung und wird deshalb im Rahmen der Umsetzungshilfen von AfW und VOTUM nicht berücksichtigt.</w:t>
      </w:r>
    </w:p>
    <w:p w14:paraId="4FC3BF4D" w14:textId="77777777" w:rsidR="00DE382B" w:rsidRPr="00361D5D" w:rsidRDefault="00DE382B" w:rsidP="00377D7E">
      <w:pPr>
        <w:pStyle w:val="Listenabsatz"/>
        <w:spacing w:line="360" w:lineRule="auto"/>
        <w:rPr>
          <w:rFonts w:ascii="Arial" w:hAnsi="Arial" w:cs="Arial"/>
          <w:i/>
          <w:iCs/>
          <w:sz w:val="22"/>
          <w:szCs w:val="22"/>
        </w:rPr>
      </w:pPr>
    </w:p>
    <w:p w14:paraId="2F05B35A" w14:textId="77777777" w:rsidR="00DE382B" w:rsidRPr="00361D5D" w:rsidRDefault="00DE382B" w:rsidP="00377D7E">
      <w:pPr>
        <w:pStyle w:val="Listenabsatz"/>
        <w:numPr>
          <w:ilvl w:val="0"/>
          <w:numId w:val="4"/>
        </w:numPr>
        <w:spacing w:line="360" w:lineRule="auto"/>
        <w:rPr>
          <w:rFonts w:ascii="Arial" w:hAnsi="Arial" w:cs="Arial"/>
          <w:i/>
          <w:iCs/>
          <w:sz w:val="22"/>
          <w:szCs w:val="22"/>
        </w:rPr>
      </w:pPr>
      <w:r w:rsidRPr="00361D5D">
        <w:rPr>
          <w:rFonts w:ascii="Arial" w:hAnsi="Arial" w:cs="Arial"/>
          <w:i/>
          <w:iCs/>
          <w:sz w:val="22"/>
          <w:szCs w:val="22"/>
        </w:rPr>
        <w:t xml:space="preserve">Eine Einarbeitung in die Kundenerstinformation empfehlen wir aus Praktikabilitätsgründen nicht. </w:t>
      </w:r>
    </w:p>
    <w:p w14:paraId="08BE6076" w14:textId="77777777" w:rsidR="00DE382B" w:rsidRPr="00361D5D" w:rsidRDefault="00DE382B" w:rsidP="00377D7E">
      <w:pPr>
        <w:pStyle w:val="Listenabsatz"/>
        <w:spacing w:line="360" w:lineRule="auto"/>
        <w:rPr>
          <w:rFonts w:ascii="Arial" w:hAnsi="Arial" w:cs="Arial"/>
          <w:i/>
          <w:iCs/>
          <w:sz w:val="22"/>
          <w:szCs w:val="22"/>
        </w:rPr>
      </w:pPr>
    </w:p>
    <w:p w14:paraId="571320B9" w14:textId="35E51E78" w:rsidR="00DE382B" w:rsidRPr="00361D5D" w:rsidRDefault="00DE382B" w:rsidP="00377D7E">
      <w:pPr>
        <w:pStyle w:val="Listenabsatz"/>
        <w:numPr>
          <w:ilvl w:val="0"/>
          <w:numId w:val="4"/>
        </w:numPr>
        <w:spacing w:line="360" w:lineRule="auto"/>
        <w:rPr>
          <w:rFonts w:ascii="Arial" w:hAnsi="Arial" w:cs="Arial"/>
          <w:i/>
          <w:iCs/>
          <w:sz w:val="22"/>
          <w:szCs w:val="22"/>
        </w:rPr>
      </w:pPr>
      <w:r w:rsidRPr="00361D5D">
        <w:rPr>
          <w:rFonts w:ascii="Arial" w:hAnsi="Arial" w:cs="Arial"/>
          <w:i/>
          <w:iCs/>
          <w:sz w:val="22"/>
          <w:szCs w:val="22"/>
        </w:rPr>
        <w:t xml:space="preserve">Sofern Sie Marketingaussagen </w:t>
      </w:r>
      <w:r w:rsidR="005C16E8" w:rsidRPr="00361D5D">
        <w:rPr>
          <w:rFonts w:ascii="Arial" w:hAnsi="Arial" w:cs="Arial"/>
          <w:i/>
          <w:iCs/>
          <w:sz w:val="22"/>
          <w:szCs w:val="22"/>
        </w:rPr>
        <w:t>–</w:t>
      </w:r>
      <w:r w:rsidRPr="00361D5D">
        <w:rPr>
          <w:rFonts w:ascii="Arial" w:hAnsi="Arial" w:cs="Arial"/>
          <w:i/>
          <w:iCs/>
          <w:sz w:val="22"/>
          <w:szCs w:val="22"/>
        </w:rPr>
        <w:t xml:space="preserve"> egal an welcher Stelle </w:t>
      </w:r>
      <w:r w:rsidR="005C16E8" w:rsidRPr="00361D5D">
        <w:rPr>
          <w:rFonts w:ascii="Arial" w:hAnsi="Arial" w:cs="Arial"/>
          <w:i/>
          <w:iCs/>
          <w:sz w:val="22"/>
          <w:szCs w:val="22"/>
        </w:rPr>
        <w:t>–</w:t>
      </w:r>
      <w:r w:rsidRPr="00361D5D">
        <w:rPr>
          <w:rFonts w:ascii="Arial" w:hAnsi="Arial" w:cs="Arial"/>
          <w:i/>
          <w:iCs/>
          <w:sz w:val="22"/>
          <w:szCs w:val="22"/>
        </w:rPr>
        <w:t xml:space="preserve"> zu Nachhaltigkeitsthemen tätigen, dürfen diese nicht im Widerspruch zu den hier empfohlenen und von Ihnen dann verwandten Texten stehen.  </w:t>
      </w:r>
    </w:p>
    <w:p w14:paraId="5D63C1EA" w14:textId="77777777" w:rsidR="00DE382B" w:rsidRPr="00361D5D" w:rsidRDefault="00DE382B" w:rsidP="00377D7E">
      <w:pPr>
        <w:pStyle w:val="Listenabsatz"/>
        <w:spacing w:line="360" w:lineRule="auto"/>
        <w:rPr>
          <w:rFonts w:ascii="Arial" w:hAnsi="Arial" w:cs="Arial"/>
          <w:i/>
          <w:iCs/>
          <w:sz w:val="22"/>
          <w:szCs w:val="22"/>
        </w:rPr>
      </w:pPr>
    </w:p>
    <w:p w14:paraId="3BBCB99E" w14:textId="5D034076" w:rsidR="00DE382B" w:rsidRPr="00361D5D" w:rsidRDefault="00DE382B" w:rsidP="00377D7E">
      <w:pPr>
        <w:pStyle w:val="Listenabsatz"/>
        <w:numPr>
          <w:ilvl w:val="0"/>
          <w:numId w:val="4"/>
        </w:numPr>
        <w:spacing w:line="360" w:lineRule="auto"/>
        <w:rPr>
          <w:rFonts w:ascii="Arial" w:hAnsi="Arial" w:cs="Arial"/>
          <w:i/>
          <w:iCs/>
          <w:sz w:val="22"/>
          <w:szCs w:val="22"/>
        </w:rPr>
      </w:pPr>
      <w:r w:rsidRPr="00361D5D">
        <w:rPr>
          <w:rFonts w:ascii="Arial" w:hAnsi="Arial" w:cs="Arial"/>
          <w:i/>
          <w:iCs/>
          <w:sz w:val="22"/>
          <w:szCs w:val="22"/>
        </w:rPr>
        <w:t xml:space="preserve">Die nachfolgenden Empfehlungen sind grundsätzlich Mindestempfehlungen. Im Sinne einer langfristigen und zukunftsorientierten Nachhaltigkeitsstrategie ist es selbstverständlich freigestellt, zu den angesprochenen Themen ausführlicher zu informieren. </w:t>
      </w:r>
    </w:p>
    <w:p w14:paraId="2C9B49A6" w14:textId="77777777" w:rsidR="00650EE6" w:rsidRPr="00361D5D" w:rsidRDefault="00650EE6" w:rsidP="00650EE6">
      <w:pPr>
        <w:pStyle w:val="Listenabsatz"/>
        <w:rPr>
          <w:rFonts w:ascii="Arial" w:hAnsi="Arial" w:cs="Arial"/>
          <w:i/>
          <w:iCs/>
          <w:sz w:val="22"/>
          <w:szCs w:val="22"/>
        </w:rPr>
      </w:pPr>
    </w:p>
    <w:p w14:paraId="60CCD1D9" w14:textId="77777777" w:rsidR="00650EE6" w:rsidRPr="00361D5D" w:rsidRDefault="00650EE6" w:rsidP="00650EE6">
      <w:pPr>
        <w:pStyle w:val="Listenabsatz"/>
        <w:spacing w:line="360" w:lineRule="auto"/>
        <w:rPr>
          <w:rFonts w:ascii="Arial" w:hAnsi="Arial" w:cs="Arial"/>
          <w:i/>
          <w:iCs/>
          <w:sz w:val="22"/>
          <w:szCs w:val="22"/>
        </w:rPr>
      </w:pPr>
    </w:p>
    <w:p w14:paraId="2BC75E10" w14:textId="64D24850" w:rsidR="009B48B0" w:rsidRPr="00361D5D" w:rsidRDefault="00153CA4" w:rsidP="00377D7E">
      <w:pPr>
        <w:spacing w:after="0" w:line="360" w:lineRule="auto"/>
        <w:rPr>
          <w:rFonts w:ascii="Arial" w:hAnsi="Arial" w:cs="Arial"/>
          <w:b/>
          <w:bCs/>
          <w:color w:val="FF0000"/>
          <w:u w:val="single"/>
        </w:rPr>
      </w:pPr>
      <w:r w:rsidRPr="00361D5D">
        <w:rPr>
          <w:rFonts w:ascii="Arial" w:hAnsi="Arial" w:cs="Arial"/>
          <w:b/>
          <w:bCs/>
          <w:color w:val="FF0000"/>
          <w:u w:val="single"/>
        </w:rPr>
        <w:t>Achtung: rot-kursiv markierte Überschriften sind nicht zu übernehmen, sondern weisen darauf hin, dass an dieser Stelle eine eigenständige und wohlüberlegte Entscheidung Ihrerseits getroffen werden muss.</w:t>
      </w:r>
    </w:p>
    <w:p w14:paraId="722D2184" w14:textId="77777777" w:rsidR="009B48B0" w:rsidRPr="00361D5D" w:rsidRDefault="009B48B0">
      <w:pPr>
        <w:rPr>
          <w:rFonts w:ascii="Arial" w:hAnsi="Arial" w:cs="Arial"/>
          <w:b/>
          <w:bCs/>
          <w:i/>
          <w:iCs/>
          <w:color w:val="FF0000"/>
          <w:u w:val="single"/>
        </w:rPr>
      </w:pPr>
      <w:r w:rsidRPr="00361D5D">
        <w:rPr>
          <w:rFonts w:ascii="Arial" w:hAnsi="Arial" w:cs="Arial"/>
          <w:b/>
          <w:bCs/>
          <w:i/>
          <w:iCs/>
          <w:color w:val="FF0000"/>
          <w:u w:val="single"/>
        </w:rPr>
        <w:br w:type="page"/>
      </w:r>
    </w:p>
    <w:p w14:paraId="6EB38F38" w14:textId="34F31FEF" w:rsidR="00B305AB" w:rsidRPr="00D25DFE" w:rsidRDefault="00E04ED5" w:rsidP="00086ED7">
      <w:pPr>
        <w:pStyle w:val="berschrift1"/>
        <w:rPr>
          <w:b w:val="0"/>
        </w:rPr>
      </w:pPr>
      <w:r w:rsidRPr="00D25DFE">
        <w:lastRenderedPageBreak/>
        <w:t>Information für die Kunden auf der Homepage</w:t>
      </w:r>
    </w:p>
    <w:p w14:paraId="6E1CD23D" w14:textId="77777777" w:rsidR="00153CA4" w:rsidRDefault="00153CA4" w:rsidP="00377D7E">
      <w:pPr>
        <w:spacing w:after="0" w:line="360" w:lineRule="auto"/>
        <w:rPr>
          <w:rFonts w:ascii="Arial" w:hAnsi="Arial" w:cs="Arial"/>
          <w:b/>
          <w:bCs/>
          <w:i/>
          <w:iCs/>
        </w:rPr>
      </w:pPr>
    </w:p>
    <w:p w14:paraId="3A5CF73C" w14:textId="77777777" w:rsidR="00B36208" w:rsidRDefault="00B36208" w:rsidP="00377D7E">
      <w:pPr>
        <w:spacing w:after="0" w:line="360" w:lineRule="auto"/>
        <w:rPr>
          <w:rFonts w:ascii="Arial" w:hAnsi="Arial" w:cs="Arial"/>
          <w:b/>
          <w:bCs/>
          <w:i/>
          <w:iCs/>
        </w:rPr>
      </w:pPr>
    </w:p>
    <w:p w14:paraId="6E0C8C3F" w14:textId="77777777" w:rsidR="00B36208" w:rsidRPr="00361D5D" w:rsidRDefault="00B36208" w:rsidP="00377D7E">
      <w:pPr>
        <w:spacing w:after="0" w:line="360" w:lineRule="auto"/>
        <w:rPr>
          <w:rFonts w:ascii="Arial" w:hAnsi="Arial" w:cs="Arial"/>
          <w:b/>
          <w:bCs/>
          <w:i/>
          <w:iCs/>
        </w:rPr>
      </w:pPr>
    </w:p>
    <w:p w14:paraId="35C5565A" w14:textId="6BA653A9" w:rsidR="00B305AB" w:rsidRPr="00361D5D" w:rsidRDefault="00B305AB" w:rsidP="00377D7E">
      <w:pPr>
        <w:spacing w:after="0" w:line="360" w:lineRule="auto"/>
        <w:rPr>
          <w:rFonts w:ascii="Arial" w:hAnsi="Arial" w:cs="Arial"/>
          <w:b/>
          <w:bCs/>
        </w:rPr>
      </w:pPr>
      <w:r w:rsidRPr="00361D5D">
        <w:rPr>
          <w:rFonts w:ascii="Arial" w:hAnsi="Arial" w:cs="Arial"/>
          <w:b/>
          <w:bCs/>
        </w:rPr>
        <w:t>Informationen über Nachhaltigkeitsrisiken bei Finanzprodukten</w:t>
      </w:r>
    </w:p>
    <w:p w14:paraId="66E4689D" w14:textId="77777777" w:rsidR="00650EE6" w:rsidRPr="00361D5D" w:rsidRDefault="00650EE6" w:rsidP="00377D7E">
      <w:pPr>
        <w:spacing w:after="0" w:line="360" w:lineRule="auto"/>
        <w:rPr>
          <w:rFonts w:ascii="Arial" w:hAnsi="Arial" w:cs="Arial"/>
          <w:b/>
          <w:bCs/>
        </w:rPr>
      </w:pPr>
    </w:p>
    <w:p w14:paraId="4BC89E55" w14:textId="7B76A3F0" w:rsidR="00B305AB" w:rsidRPr="00361D5D" w:rsidRDefault="00B305AB" w:rsidP="00377D7E">
      <w:pPr>
        <w:spacing w:after="0" w:line="360" w:lineRule="auto"/>
        <w:rPr>
          <w:rFonts w:ascii="Arial" w:hAnsi="Arial" w:cs="Arial"/>
          <w:b/>
          <w:bCs/>
        </w:rPr>
      </w:pPr>
      <w:r w:rsidRPr="00361D5D">
        <w:rPr>
          <w:rFonts w:ascii="Arial" w:hAnsi="Arial" w:cs="Arial"/>
          <w:b/>
          <w:bCs/>
        </w:rPr>
        <w:t>Was sind Nachhaltigkeitsrisiken?</w:t>
      </w:r>
    </w:p>
    <w:p w14:paraId="3F240D8B" w14:textId="638E305D" w:rsidR="00B305AB" w:rsidRPr="00361D5D" w:rsidRDefault="00B305AB" w:rsidP="00377D7E">
      <w:pPr>
        <w:spacing w:after="0" w:line="360" w:lineRule="auto"/>
        <w:rPr>
          <w:rFonts w:ascii="Arial" w:hAnsi="Arial" w:cs="Arial"/>
        </w:rPr>
      </w:pPr>
      <w:r w:rsidRPr="00361D5D">
        <w:rPr>
          <w:rFonts w:ascii="Arial" w:hAnsi="Arial" w:cs="Arial"/>
        </w:rPr>
        <w:t xml:space="preserve">Als Nachhaltigkeitsrisiken </w:t>
      </w:r>
      <w:r w:rsidR="00884897" w:rsidRPr="00361D5D">
        <w:rPr>
          <w:rFonts w:ascii="Arial" w:hAnsi="Arial" w:cs="Arial"/>
        </w:rPr>
        <w:t xml:space="preserve">(ESG-Risiken) </w:t>
      </w:r>
      <w:r w:rsidRPr="00361D5D">
        <w:rPr>
          <w:rFonts w:ascii="Arial" w:hAnsi="Arial" w:cs="Arial"/>
        </w:rPr>
        <w:t>werden Ereignisse oder Bedingungen aus den drei Bereichen Umwelt</w:t>
      </w:r>
      <w:r w:rsidR="00884897" w:rsidRPr="00361D5D">
        <w:rPr>
          <w:rFonts w:ascii="Arial" w:hAnsi="Arial" w:cs="Arial"/>
        </w:rPr>
        <w:t xml:space="preserve"> (</w:t>
      </w:r>
      <w:r w:rsidR="00884897" w:rsidRPr="00361D5D">
        <w:rPr>
          <w:rFonts w:ascii="Arial" w:hAnsi="Arial" w:cs="Arial"/>
          <w:b/>
          <w:bCs/>
        </w:rPr>
        <w:t>E</w:t>
      </w:r>
      <w:r w:rsidR="00884897" w:rsidRPr="00361D5D">
        <w:rPr>
          <w:rFonts w:ascii="Arial" w:hAnsi="Arial" w:cs="Arial"/>
        </w:rPr>
        <w:t>nvironment)</w:t>
      </w:r>
      <w:r w:rsidRPr="00361D5D">
        <w:rPr>
          <w:rFonts w:ascii="Arial" w:hAnsi="Arial" w:cs="Arial"/>
        </w:rPr>
        <w:t>, Soziales</w:t>
      </w:r>
      <w:r w:rsidR="00884897" w:rsidRPr="00361D5D">
        <w:rPr>
          <w:rFonts w:ascii="Arial" w:hAnsi="Arial" w:cs="Arial"/>
        </w:rPr>
        <w:t xml:space="preserve"> (</w:t>
      </w:r>
      <w:r w:rsidR="00884897" w:rsidRPr="00361D5D">
        <w:rPr>
          <w:rFonts w:ascii="Arial" w:hAnsi="Arial" w:cs="Arial"/>
          <w:b/>
          <w:bCs/>
        </w:rPr>
        <w:t>S</w:t>
      </w:r>
      <w:r w:rsidR="00884897" w:rsidRPr="00361D5D">
        <w:rPr>
          <w:rFonts w:ascii="Arial" w:hAnsi="Arial" w:cs="Arial"/>
        </w:rPr>
        <w:t>ocial)</w:t>
      </w:r>
      <w:r w:rsidRPr="00361D5D">
        <w:rPr>
          <w:rFonts w:ascii="Arial" w:hAnsi="Arial" w:cs="Arial"/>
        </w:rPr>
        <w:t xml:space="preserve"> und Unternehmensführung</w:t>
      </w:r>
      <w:r w:rsidR="00884897" w:rsidRPr="00361D5D">
        <w:rPr>
          <w:rFonts w:ascii="Arial" w:hAnsi="Arial" w:cs="Arial"/>
        </w:rPr>
        <w:t xml:space="preserve"> (</w:t>
      </w:r>
      <w:r w:rsidR="00884897" w:rsidRPr="00361D5D">
        <w:rPr>
          <w:rFonts w:ascii="Arial" w:hAnsi="Arial" w:cs="Arial"/>
          <w:b/>
          <w:bCs/>
        </w:rPr>
        <w:t>G</w:t>
      </w:r>
      <w:r w:rsidR="00884897" w:rsidRPr="00361D5D">
        <w:rPr>
          <w:rFonts w:ascii="Arial" w:hAnsi="Arial" w:cs="Arial"/>
        </w:rPr>
        <w:t xml:space="preserve">overnance) </w:t>
      </w:r>
      <w:r w:rsidRPr="00361D5D">
        <w:rPr>
          <w:rFonts w:ascii="Arial" w:hAnsi="Arial" w:cs="Arial"/>
        </w:rPr>
        <w:t>bezeichnet, deren Eintreten negative Auswirkungen auf den Wert der Investition bzw. Anlage haben könnten. Diese Risiken können einzelne Unternehmen genauso wie ganze Branchen oder Regionen betreffen.</w:t>
      </w:r>
    </w:p>
    <w:p w14:paraId="60E25E1D" w14:textId="77777777" w:rsidR="00650EE6" w:rsidRPr="00361D5D" w:rsidRDefault="00650EE6" w:rsidP="00377D7E">
      <w:pPr>
        <w:spacing w:after="0" w:line="360" w:lineRule="auto"/>
        <w:rPr>
          <w:rFonts w:ascii="Arial" w:hAnsi="Arial" w:cs="Arial"/>
        </w:rPr>
      </w:pPr>
    </w:p>
    <w:p w14:paraId="574B1FDB" w14:textId="77777777" w:rsidR="00B305AB" w:rsidRPr="00361D5D" w:rsidRDefault="00B305AB" w:rsidP="00377D7E">
      <w:pPr>
        <w:spacing w:after="0" w:line="360" w:lineRule="auto"/>
        <w:rPr>
          <w:rFonts w:ascii="Arial" w:hAnsi="Arial" w:cs="Arial"/>
          <w:b/>
          <w:bCs/>
        </w:rPr>
      </w:pPr>
      <w:r w:rsidRPr="00361D5D">
        <w:rPr>
          <w:rFonts w:ascii="Arial" w:hAnsi="Arial" w:cs="Arial"/>
          <w:b/>
          <w:bCs/>
        </w:rPr>
        <w:t>Was gibt es für Beispiele für Nachhaltigkeitsrisiken in den drei Bereichen?</w:t>
      </w:r>
    </w:p>
    <w:p w14:paraId="65F30E32" w14:textId="77777777" w:rsidR="00B305AB" w:rsidRPr="00361D5D" w:rsidRDefault="00B305AB" w:rsidP="00377D7E">
      <w:pPr>
        <w:pStyle w:val="Listenabsatz"/>
        <w:numPr>
          <w:ilvl w:val="0"/>
          <w:numId w:val="1"/>
        </w:numPr>
        <w:spacing w:line="360" w:lineRule="auto"/>
        <w:rPr>
          <w:rFonts w:ascii="Arial" w:hAnsi="Arial" w:cs="Arial"/>
          <w:sz w:val="22"/>
          <w:szCs w:val="22"/>
        </w:rPr>
      </w:pPr>
      <w:r w:rsidRPr="00361D5D">
        <w:rPr>
          <w:rFonts w:ascii="Arial" w:hAnsi="Arial" w:cs="Arial"/>
          <w:b/>
          <w:bCs/>
          <w:sz w:val="22"/>
          <w:szCs w:val="22"/>
        </w:rPr>
        <w:t>Umwelt</w:t>
      </w:r>
      <w:r w:rsidRPr="00361D5D">
        <w:rPr>
          <w:rFonts w:ascii="Arial" w:hAnsi="Arial" w:cs="Arial"/>
          <w:sz w:val="22"/>
          <w:szCs w:val="22"/>
        </w:rPr>
        <w:t>: In Folge des Klimawandels könnten vermehrt auftretende Extremwetterereignisse ein Risiko darstellen. Dieses Risiko wird auch physisches Risiko genannt. Ein Beispiel hierfür wäre eine extreme Trockenperiode in einer bestimmten Region. Dadurch könnten Pegel von Transportwegen wie Flüssen so weit sinken, dass der Transport von Waren beeinträchtigt werden könnte.</w:t>
      </w:r>
    </w:p>
    <w:p w14:paraId="387479D8" w14:textId="77777777" w:rsidR="00B305AB" w:rsidRPr="00361D5D" w:rsidRDefault="00B305AB" w:rsidP="00377D7E">
      <w:pPr>
        <w:pStyle w:val="Listenabsatz"/>
        <w:numPr>
          <w:ilvl w:val="0"/>
          <w:numId w:val="1"/>
        </w:numPr>
        <w:spacing w:line="360" w:lineRule="auto"/>
        <w:rPr>
          <w:rFonts w:ascii="Arial" w:hAnsi="Arial" w:cs="Arial"/>
          <w:sz w:val="22"/>
          <w:szCs w:val="22"/>
        </w:rPr>
      </w:pPr>
      <w:r w:rsidRPr="00361D5D">
        <w:rPr>
          <w:rFonts w:ascii="Arial" w:hAnsi="Arial" w:cs="Arial"/>
          <w:b/>
          <w:bCs/>
          <w:sz w:val="22"/>
          <w:szCs w:val="22"/>
        </w:rPr>
        <w:t>Soziales</w:t>
      </w:r>
      <w:r w:rsidRPr="00361D5D">
        <w:rPr>
          <w:rFonts w:ascii="Arial" w:hAnsi="Arial" w:cs="Arial"/>
          <w:sz w:val="22"/>
          <w:szCs w:val="22"/>
        </w:rPr>
        <w:t xml:space="preserve">: Im Bereich des Sozialen könnten sich Risiken zum Beispiel aus der Nichteinhaltung von arbeitsrechtlichen Standards oder des Gesundheitsschutzes ergeben. </w:t>
      </w:r>
    </w:p>
    <w:p w14:paraId="67731999" w14:textId="19D04268" w:rsidR="00B305AB" w:rsidRDefault="00B305AB" w:rsidP="00377D7E">
      <w:pPr>
        <w:pStyle w:val="Listenabsatz"/>
        <w:numPr>
          <w:ilvl w:val="0"/>
          <w:numId w:val="1"/>
        </w:numPr>
        <w:spacing w:line="360" w:lineRule="auto"/>
        <w:rPr>
          <w:rFonts w:ascii="Arial" w:hAnsi="Arial" w:cs="Arial"/>
          <w:sz w:val="22"/>
          <w:szCs w:val="22"/>
        </w:rPr>
      </w:pPr>
      <w:r w:rsidRPr="00361D5D">
        <w:rPr>
          <w:rFonts w:ascii="Arial" w:hAnsi="Arial" w:cs="Arial"/>
          <w:b/>
          <w:bCs/>
          <w:sz w:val="22"/>
          <w:szCs w:val="22"/>
        </w:rPr>
        <w:t>Unternehmensführung</w:t>
      </w:r>
      <w:r w:rsidRPr="00361D5D">
        <w:rPr>
          <w:rFonts w:ascii="Arial" w:hAnsi="Arial" w:cs="Arial"/>
          <w:sz w:val="22"/>
          <w:szCs w:val="22"/>
        </w:rPr>
        <w:t xml:space="preserve">: Beispiele für Risiken im Bereich der Unternehmensführung sind etwa die Nichteinhaltung der Steuerehrlichkeit oder Korruption in Unternehmen. </w:t>
      </w:r>
    </w:p>
    <w:p w14:paraId="6590523E" w14:textId="025BA8DD" w:rsidR="00130A77" w:rsidRDefault="00130A77" w:rsidP="00130A77">
      <w:pPr>
        <w:spacing w:line="360" w:lineRule="auto"/>
        <w:rPr>
          <w:rFonts w:ascii="Arial" w:hAnsi="Arial" w:cs="Arial"/>
        </w:rPr>
      </w:pPr>
    </w:p>
    <w:p w14:paraId="45AA0362" w14:textId="4AC2A34D" w:rsidR="001B5AF6" w:rsidRPr="00361D5D" w:rsidRDefault="001B5AF6">
      <w:pPr>
        <w:rPr>
          <w:rFonts w:ascii="Arial" w:hAnsi="Arial" w:cs="Arial"/>
        </w:rPr>
      </w:pPr>
      <w:r w:rsidRPr="00361D5D">
        <w:rPr>
          <w:rFonts w:ascii="Arial" w:hAnsi="Arial" w:cs="Arial"/>
        </w:rPr>
        <w:br w:type="page"/>
      </w:r>
    </w:p>
    <w:p w14:paraId="5928CE17" w14:textId="1BEEE5E5" w:rsidR="00B305AB" w:rsidRPr="00361D5D" w:rsidRDefault="00B305AB" w:rsidP="00377D7E">
      <w:pPr>
        <w:spacing w:after="0" w:line="360" w:lineRule="auto"/>
        <w:rPr>
          <w:rFonts w:ascii="Arial" w:hAnsi="Arial" w:cs="Arial"/>
          <w:b/>
          <w:bCs/>
        </w:rPr>
      </w:pPr>
      <w:r w:rsidRPr="00361D5D">
        <w:rPr>
          <w:rFonts w:ascii="Arial" w:hAnsi="Arial" w:cs="Arial"/>
          <w:b/>
          <w:bCs/>
        </w:rPr>
        <w:lastRenderedPageBreak/>
        <w:t>Information zur Einbeziehung von Nachhaltigkeitsrisiken bei der Beratungstätigkeit</w:t>
      </w:r>
      <w:r w:rsidR="00325A16" w:rsidRPr="00361D5D">
        <w:rPr>
          <w:rFonts w:ascii="Arial" w:hAnsi="Arial" w:cs="Arial"/>
          <w:b/>
          <w:bCs/>
        </w:rPr>
        <w:t xml:space="preserve"> (Art. 3 TVO)</w:t>
      </w:r>
    </w:p>
    <w:p w14:paraId="74CE54E5" w14:textId="77777777" w:rsidR="00D85166" w:rsidRPr="00361D5D" w:rsidRDefault="00D85166" w:rsidP="00377D7E">
      <w:pPr>
        <w:spacing w:after="0" w:line="360" w:lineRule="auto"/>
        <w:rPr>
          <w:rFonts w:ascii="Arial" w:hAnsi="Arial" w:cs="Arial"/>
        </w:rPr>
      </w:pPr>
    </w:p>
    <w:p w14:paraId="262DBF80" w14:textId="6748F43A" w:rsidR="00E04ED5" w:rsidRPr="00361D5D" w:rsidRDefault="00E04ED5" w:rsidP="00377D7E">
      <w:pPr>
        <w:spacing w:after="0" w:line="360" w:lineRule="auto"/>
        <w:rPr>
          <w:rFonts w:ascii="Arial" w:hAnsi="Arial" w:cs="Arial"/>
        </w:rPr>
      </w:pPr>
      <w:r w:rsidRPr="00361D5D">
        <w:rPr>
          <w:rFonts w:ascii="Arial" w:hAnsi="Arial" w:cs="Arial"/>
        </w:rPr>
        <w:t>Um Nachhaltigkeitsrisiken bei der Beratung einzubeziehen, werden i</w:t>
      </w:r>
      <w:r w:rsidR="00B305AB" w:rsidRPr="00361D5D">
        <w:rPr>
          <w:rFonts w:ascii="Arial" w:hAnsi="Arial" w:cs="Arial"/>
        </w:rPr>
        <w:t xml:space="preserve">m Rahmen der Auswahl von Anbietern (Finanzmarktteilnehmern) und deren Finanzprodukten </w:t>
      </w:r>
      <w:r w:rsidR="00BD20DE" w:rsidRPr="00361D5D">
        <w:rPr>
          <w:rFonts w:ascii="Arial" w:hAnsi="Arial" w:cs="Arial"/>
        </w:rPr>
        <w:t>deren</w:t>
      </w:r>
      <w:r w:rsidR="00B305AB" w:rsidRPr="00361D5D">
        <w:rPr>
          <w:rFonts w:ascii="Arial" w:hAnsi="Arial" w:cs="Arial"/>
        </w:rPr>
        <w:t xml:space="preserve"> zur Verfügung gestellte Informationen berücksichtigt.</w:t>
      </w:r>
      <w:r w:rsidRPr="00361D5D">
        <w:rPr>
          <w:rFonts w:ascii="Arial" w:hAnsi="Arial" w:cs="Arial"/>
        </w:rPr>
        <w:t xml:space="preserve"> </w:t>
      </w:r>
    </w:p>
    <w:p w14:paraId="3C12775F" w14:textId="3B0ABE27" w:rsidR="00B305AB" w:rsidRPr="00361D5D" w:rsidRDefault="00B305AB" w:rsidP="00377D7E">
      <w:pPr>
        <w:spacing w:after="0" w:line="360" w:lineRule="auto"/>
        <w:rPr>
          <w:rFonts w:ascii="Arial" w:hAnsi="Arial" w:cs="Arial"/>
        </w:rPr>
      </w:pPr>
      <w:r w:rsidRPr="00361D5D">
        <w:rPr>
          <w:rFonts w:ascii="Arial" w:hAnsi="Arial" w:cs="Arial"/>
        </w:rPr>
        <w:t xml:space="preserve">Anbieter, die erkennbar keine Strategie zur Einbeziehung von Nachhaltigkeitsrisiken in ihre Investitionsentscheidungen haben, werden ggf. nicht angeboten. </w:t>
      </w:r>
    </w:p>
    <w:p w14:paraId="0BC9BB50" w14:textId="31896452" w:rsidR="00B305AB" w:rsidRPr="00361D5D" w:rsidRDefault="00B305AB" w:rsidP="00377D7E">
      <w:pPr>
        <w:spacing w:after="0" w:line="360" w:lineRule="auto"/>
        <w:rPr>
          <w:rFonts w:ascii="Arial" w:hAnsi="Arial" w:cs="Arial"/>
        </w:rPr>
      </w:pPr>
      <w:r w:rsidRPr="00361D5D">
        <w:rPr>
          <w:rFonts w:ascii="Arial" w:hAnsi="Arial" w:cs="Arial"/>
        </w:rPr>
        <w:t xml:space="preserve">Im Rahmen der Beratung wird </w:t>
      </w:r>
      <w:r w:rsidR="00E04ED5" w:rsidRPr="00361D5D">
        <w:rPr>
          <w:rFonts w:ascii="Arial" w:hAnsi="Arial" w:cs="Arial"/>
        </w:rPr>
        <w:t xml:space="preserve">ggf. </w:t>
      </w:r>
      <w:r w:rsidRPr="00361D5D">
        <w:rPr>
          <w:rFonts w:ascii="Arial" w:hAnsi="Arial" w:cs="Arial"/>
        </w:rPr>
        <w:t>gesondert dargestellt, wenn die Berücksichtigung der Nachhaltigkeitsrisiken bei der Investmententscheidung erkennbare Vor- bzw. Nachteile für den Kunden bedeuten.</w:t>
      </w:r>
    </w:p>
    <w:p w14:paraId="55ABC046" w14:textId="5B077D9C" w:rsidR="00B305AB" w:rsidRPr="00361D5D" w:rsidRDefault="00B305AB" w:rsidP="00377D7E">
      <w:pPr>
        <w:spacing w:after="0" w:line="360" w:lineRule="auto"/>
        <w:rPr>
          <w:rFonts w:ascii="Arial" w:hAnsi="Arial" w:cs="Arial"/>
        </w:rPr>
      </w:pPr>
      <w:r w:rsidRPr="00361D5D">
        <w:rPr>
          <w:rFonts w:ascii="Arial" w:hAnsi="Arial" w:cs="Arial"/>
        </w:rPr>
        <w:t xml:space="preserve">Über die Berücksichtigung von Nachhaltigkeitsrisiken bei Investitionsentscheidungen des jeweiligen Anbieters informiert dieser mit </w:t>
      </w:r>
      <w:r w:rsidR="00E04ED5" w:rsidRPr="00361D5D">
        <w:rPr>
          <w:rFonts w:ascii="Arial" w:hAnsi="Arial" w:cs="Arial"/>
        </w:rPr>
        <w:t>seinen</w:t>
      </w:r>
      <w:r w:rsidRPr="00361D5D">
        <w:rPr>
          <w:rFonts w:ascii="Arial" w:hAnsi="Arial" w:cs="Arial"/>
        </w:rPr>
        <w:t xml:space="preserve"> vorvertraglichen Informationen. Fragen dazu kann der Kunde im Vorfeld eines möglichen Abschlusses ansprechen.</w:t>
      </w:r>
    </w:p>
    <w:p w14:paraId="7F0D01BF" w14:textId="77777777" w:rsidR="00E04ED5" w:rsidRPr="00361D5D" w:rsidRDefault="00E04ED5" w:rsidP="00377D7E">
      <w:pPr>
        <w:spacing w:after="0" w:line="360" w:lineRule="auto"/>
        <w:rPr>
          <w:rFonts w:ascii="Arial" w:hAnsi="Arial" w:cs="Arial"/>
          <w:b/>
          <w:bCs/>
          <w:i/>
          <w:iCs/>
        </w:rPr>
      </w:pPr>
    </w:p>
    <w:p w14:paraId="54F3C7C8" w14:textId="7D8554A4" w:rsidR="00B305AB" w:rsidRPr="009F392A" w:rsidRDefault="00B305AB" w:rsidP="00377D7E">
      <w:pPr>
        <w:spacing w:after="0" w:line="360" w:lineRule="auto"/>
        <w:rPr>
          <w:rFonts w:ascii="Arial" w:hAnsi="Arial" w:cs="Arial"/>
          <w:b/>
          <w:bCs/>
          <w:i/>
          <w:iCs/>
          <w:color w:val="FF0000"/>
        </w:rPr>
      </w:pPr>
      <w:r w:rsidRPr="009F392A">
        <w:rPr>
          <w:rFonts w:ascii="Arial" w:hAnsi="Arial" w:cs="Arial"/>
          <w:b/>
          <w:bCs/>
          <w:i/>
          <w:iCs/>
          <w:color w:val="FF0000"/>
        </w:rPr>
        <w:t>Eine zusätzliche Erklärung für den Fall, dass eine gezieltere Strategie in Sachen Nachhaltigkeit verfolgt wird</w:t>
      </w:r>
      <w:r w:rsidR="00E04ED5" w:rsidRPr="009F392A">
        <w:rPr>
          <w:rFonts w:ascii="Arial" w:hAnsi="Arial" w:cs="Arial"/>
          <w:b/>
          <w:bCs/>
          <w:i/>
          <w:iCs/>
          <w:color w:val="FF0000"/>
        </w:rPr>
        <w:t>,</w:t>
      </w:r>
      <w:r w:rsidRPr="009F392A">
        <w:rPr>
          <w:rFonts w:ascii="Arial" w:hAnsi="Arial" w:cs="Arial"/>
          <w:b/>
          <w:bCs/>
          <w:i/>
          <w:iCs/>
          <w:color w:val="FF0000"/>
        </w:rPr>
        <w:t xml:space="preserve"> ist hier möglich. Zum Beispiel: </w:t>
      </w:r>
    </w:p>
    <w:p w14:paraId="24392561" w14:textId="2B92785E" w:rsidR="00006E7E" w:rsidRDefault="00B305AB" w:rsidP="00377D7E">
      <w:pPr>
        <w:spacing w:after="0" w:line="360" w:lineRule="auto"/>
        <w:rPr>
          <w:rFonts w:ascii="Arial" w:hAnsi="Arial" w:cs="Arial"/>
          <w:i/>
          <w:iCs/>
        </w:rPr>
      </w:pPr>
      <w:r w:rsidRPr="009F392A">
        <w:rPr>
          <w:rFonts w:ascii="Arial" w:hAnsi="Arial" w:cs="Arial"/>
          <w:i/>
          <w:iCs/>
        </w:rPr>
        <w:t>Um die Bewertung von Nachhaltigkeitsrisiken vorzunehmen</w:t>
      </w:r>
      <w:r w:rsidR="00E04ED5" w:rsidRPr="009F392A">
        <w:rPr>
          <w:rFonts w:ascii="Arial" w:hAnsi="Arial" w:cs="Arial"/>
          <w:i/>
          <w:iCs/>
        </w:rPr>
        <w:t>,</w:t>
      </w:r>
      <w:r w:rsidRPr="009F392A">
        <w:rPr>
          <w:rFonts w:ascii="Arial" w:hAnsi="Arial" w:cs="Arial"/>
          <w:i/>
          <w:iCs/>
        </w:rPr>
        <w:t xml:space="preserve"> nutzt der Finanzberater u.a. zusätzliche Informationen von Dienstleistern, Verbänden oder Organisationen, die sich auf die Beurteilung dieser Risiken spezialisiert haben. Grundsätzlich wird auch in Bezug auf Nachhaltigkeitsrisiken eine möglichst </w:t>
      </w:r>
      <w:r w:rsidRPr="00BE7FE4">
        <w:rPr>
          <w:rFonts w:ascii="Arial" w:hAnsi="Arial" w:cs="Arial"/>
          <w:i/>
          <w:iCs/>
        </w:rPr>
        <w:t>breite Streuung (Diversifizierung) der Anlage in Finanzprodukte oder ggf. auch innerhalb eines Finanzproduktes empfohlen.</w:t>
      </w:r>
    </w:p>
    <w:p w14:paraId="2D206C0B" w14:textId="77777777" w:rsidR="00006E7E" w:rsidRDefault="00006E7E">
      <w:pPr>
        <w:rPr>
          <w:rFonts w:ascii="Arial" w:hAnsi="Arial" w:cs="Arial"/>
          <w:i/>
          <w:iCs/>
        </w:rPr>
      </w:pPr>
      <w:r>
        <w:rPr>
          <w:rFonts w:ascii="Arial" w:hAnsi="Arial" w:cs="Arial"/>
          <w:i/>
          <w:iCs/>
        </w:rPr>
        <w:br w:type="page"/>
      </w:r>
    </w:p>
    <w:p w14:paraId="6BD67DF0" w14:textId="3B572C6D" w:rsidR="00325A16" w:rsidRPr="00BE7FE4" w:rsidRDefault="00325A16" w:rsidP="00B03569">
      <w:pPr>
        <w:spacing w:after="0" w:line="360" w:lineRule="auto"/>
        <w:rPr>
          <w:rFonts w:ascii="Arial" w:hAnsi="Arial" w:cs="Arial"/>
          <w:b/>
          <w:bCs/>
        </w:rPr>
      </w:pPr>
      <w:r w:rsidRPr="00BB24B5">
        <w:rPr>
          <w:rFonts w:ascii="Arial" w:hAnsi="Arial" w:cs="Arial"/>
          <w:b/>
          <w:bCs/>
        </w:rPr>
        <w:lastRenderedPageBreak/>
        <w:t>Information zur Berücksichtigung nachteiliger Auswirkungen auf Nachhaltigkeitsfaktoren (Art. 4 TVO</w:t>
      </w:r>
      <w:r w:rsidR="00E570C8" w:rsidRPr="00BB24B5">
        <w:rPr>
          <w:rFonts w:ascii="Arial" w:hAnsi="Arial" w:cs="Arial"/>
          <w:b/>
          <w:bCs/>
        </w:rPr>
        <w:t xml:space="preserve"> in Verbindung mit Art. 11 der Ergänzung zur TVO vom 01. Januar 2023</w:t>
      </w:r>
      <w:r w:rsidRPr="00BB24B5">
        <w:rPr>
          <w:rFonts w:ascii="Arial" w:hAnsi="Arial" w:cs="Arial"/>
          <w:b/>
          <w:bCs/>
        </w:rPr>
        <w:t>)</w:t>
      </w:r>
    </w:p>
    <w:p w14:paraId="01C6DA08" w14:textId="77777777" w:rsidR="001B5AF6" w:rsidRPr="00BE7FE4" w:rsidRDefault="001B5AF6" w:rsidP="00B03569">
      <w:pPr>
        <w:spacing w:after="0" w:line="360" w:lineRule="auto"/>
        <w:rPr>
          <w:rFonts w:ascii="Arial" w:hAnsi="Arial" w:cs="Arial"/>
          <w:b/>
          <w:bCs/>
        </w:rPr>
      </w:pPr>
    </w:p>
    <w:p w14:paraId="652FE0B5" w14:textId="77777777" w:rsidR="00E570C8" w:rsidRPr="008B5EAD" w:rsidRDefault="00E570C8" w:rsidP="00CD0528">
      <w:pPr>
        <w:spacing w:line="360" w:lineRule="auto"/>
        <w:rPr>
          <w:rFonts w:ascii="Arial" w:hAnsi="Arial" w:cs="Arial"/>
          <w:b/>
          <w:bCs/>
          <w:u w:val="single"/>
        </w:rPr>
      </w:pPr>
      <w:r w:rsidRPr="00BE7FE4">
        <w:rPr>
          <w:rFonts w:ascii="Arial" w:hAnsi="Arial" w:cs="Arial"/>
          <w:b/>
          <w:bCs/>
          <w:u w:val="single"/>
        </w:rPr>
        <w:t>Erklärung über die Berücksichtigung der wichtigsten nachteiligen Auswirkungen auf Nachhaltigkeitsfaktoren bei der Anlage- und Versicherungsberatung:</w:t>
      </w:r>
    </w:p>
    <w:p w14:paraId="78CC5FE2" w14:textId="77777777" w:rsidR="00E570C8" w:rsidRPr="00B03569" w:rsidRDefault="00E570C8" w:rsidP="00CD0528">
      <w:pPr>
        <w:spacing w:line="360" w:lineRule="auto"/>
        <w:jc w:val="both"/>
        <w:rPr>
          <w:rFonts w:ascii="Arial" w:hAnsi="Arial" w:cs="Arial"/>
        </w:rPr>
      </w:pPr>
      <w:r w:rsidRPr="008B5EAD">
        <w:rPr>
          <w:rFonts w:ascii="Arial" w:hAnsi="Arial" w:cs="Arial"/>
        </w:rPr>
        <w:t xml:space="preserve">Bei der Beratung ist es unser Ziel, Ihnen ein geeignetes Anlage-/Versicherungsanlageprodukt empfehlen zu können. Dabei berücksichtigen wir auch Ihre Nachhaltigkeitspräferenzen, sofern Sie dies wünschen. Hierbei können Sie festlegen, ob bei Ihrer Anlage </w:t>
      </w:r>
      <w:r w:rsidRPr="008B5EAD">
        <w:rPr>
          <w:rFonts w:ascii="Arial" w:eastAsia="Times New Roman" w:hAnsi="Arial" w:cs="Arial"/>
          <w:color w:val="000000" w:themeColor="text1"/>
          <w:shd w:val="clear" w:color="auto" w:fill="FFFFFF"/>
          <w:lang w:eastAsia="de-DE"/>
        </w:rPr>
        <w:t xml:space="preserve">ökologische und/oder soziale Werte sowie Grundsätze guter Unternehmensführung und/oder die wichtigsten </w:t>
      </w:r>
      <w:r w:rsidRPr="008B5EAD">
        <w:rPr>
          <w:rFonts w:ascii="Arial" w:hAnsi="Arial" w:cs="Arial"/>
        </w:rPr>
        <w:t xml:space="preserve">nachteiligen Auswirkungen von Investitionsentscheidungen auf </w:t>
      </w:r>
      <w:r w:rsidRPr="00B03569">
        <w:rPr>
          <w:rFonts w:ascii="Arial" w:hAnsi="Arial" w:cs="Arial"/>
        </w:rPr>
        <w:t xml:space="preserve">Nachhaltigkeitsfaktoren </w:t>
      </w:r>
      <w:r w:rsidRPr="00B03569">
        <w:rPr>
          <w:rFonts w:ascii="Arial" w:eastAsia="Times New Roman" w:hAnsi="Arial" w:cs="Arial"/>
          <w:color w:val="000000" w:themeColor="text1"/>
          <w:shd w:val="clear" w:color="auto" w:fill="FFFFFF"/>
          <w:lang w:eastAsia="de-DE"/>
        </w:rPr>
        <w:t>berücksichtigt werden sollen</w:t>
      </w:r>
      <w:r w:rsidRPr="00B03569">
        <w:rPr>
          <w:rFonts w:ascii="Arial" w:hAnsi="Arial" w:cs="Arial"/>
        </w:rPr>
        <w:t>. Der Gesetzgeber hat je nach Art des Anlageziels (Investition in Unternehmen, Staaten, Immobilien etc.) in folgenden Bereichen „Indikatoren“ für die wichtigsten nachteiligen Auswirkungen ihrer Investitionsentscheidungen auf Nachhaltigkeitsfaktoren bestimmt:</w:t>
      </w:r>
    </w:p>
    <w:p w14:paraId="53876307" w14:textId="77777777" w:rsidR="00E570C8" w:rsidRPr="00BB24B5" w:rsidRDefault="00E570C8" w:rsidP="00CD0528">
      <w:pPr>
        <w:pStyle w:val="Listenabsatz"/>
        <w:numPr>
          <w:ilvl w:val="0"/>
          <w:numId w:val="6"/>
        </w:numPr>
        <w:spacing w:after="200" w:line="360" w:lineRule="auto"/>
        <w:rPr>
          <w:rFonts w:ascii="Arial" w:hAnsi="Arial" w:cs="Arial"/>
          <w:sz w:val="22"/>
          <w:szCs w:val="22"/>
        </w:rPr>
      </w:pPr>
      <w:r w:rsidRPr="00BB24B5">
        <w:rPr>
          <w:rFonts w:ascii="Arial" w:hAnsi="Arial" w:cs="Arial"/>
          <w:sz w:val="22"/>
          <w:szCs w:val="22"/>
        </w:rPr>
        <w:t>Umwelt-, Sozial- und Arbeitnehmerbelange</w:t>
      </w:r>
    </w:p>
    <w:p w14:paraId="0BEEDC30" w14:textId="77777777" w:rsidR="00E570C8" w:rsidRPr="00BB24B5" w:rsidRDefault="00E570C8" w:rsidP="00CD0528">
      <w:pPr>
        <w:pStyle w:val="Listenabsatz"/>
        <w:numPr>
          <w:ilvl w:val="0"/>
          <w:numId w:val="6"/>
        </w:numPr>
        <w:spacing w:after="200" w:line="360" w:lineRule="auto"/>
        <w:rPr>
          <w:rFonts w:ascii="Arial" w:hAnsi="Arial" w:cs="Arial"/>
          <w:sz w:val="22"/>
          <w:szCs w:val="22"/>
        </w:rPr>
      </w:pPr>
      <w:r w:rsidRPr="00BB24B5">
        <w:rPr>
          <w:rFonts w:ascii="Arial" w:hAnsi="Arial" w:cs="Arial"/>
          <w:sz w:val="22"/>
          <w:szCs w:val="22"/>
        </w:rPr>
        <w:t>Die Achtung der Menschenrechte</w:t>
      </w:r>
    </w:p>
    <w:p w14:paraId="6581CC57" w14:textId="77777777" w:rsidR="00E570C8" w:rsidRPr="00BB24B5" w:rsidRDefault="00E570C8" w:rsidP="00CD0528">
      <w:pPr>
        <w:pStyle w:val="Listenabsatz"/>
        <w:numPr>
          <w:ilvl w:val="0"/>
          <w:numId w:val="6"/>
        </w:numPr>
        <w:spacing w:after="200" w:line="360" w:lineRule="auto"/>
        <w:rPr>
          <w:rFonts w:ascii="Arial" w:hAnsi="Arial" w:cs="Arial"/>
          <w:sz w:val="22"/>
          <w:szCs w:val="22"/>
        </w:rPr>
      </w:pPr>
      <w:r w:rsidRPr="00BB24B5">
        <w:rPr>
          <w:rFonts w:ascii="Arial" w:hAnsi="Arial" w:cs="Arial"/>
          <w:sz w:val="22"/>
          <w:szCs w:val="22"/>
        </w:rPr>
        <w:t>Die Bekämpfung von Korruption und Bestechung.</w:t>
      </w:r>
    </w:p>
    <w:p w14:paraId="3F891A92" w14:textId="77777777" w:rsidR="00E570C8" w:rsidRPr="00B03569" w:rsidRDefault="00E570C8" w:rsidP="00CD0528">
      <w:pPr>
        <w:spacing w:line="360" w:lineRule="auto"/>
        <w:jc w:val="both"/>
        <w:rPr>
          <w:rFonts w:ascii="Arial" w:hAnsi="Arial" w:cs="Arial"/>
        </w:rPr>
      </w:pPr>
      <w:r w:rsidRPr="00B03569">
        <w:rPr>
          <w:rFonts w:ascii="Arial" w:hAnsi="Arial" w:cs="Arial"/>
        </w:rPr>
        <w:t xml:space="preserve">Die Produktanbieter sind gesetzlich verpflichtet, eine Erklärung zu veröffentlichen, welche Strategie sie in Bezug auf die Berücksichtigung der wichtigsten nachteiligen Auswirkungen und den Umgang damit verfolgen. Dies bezieht sich insbesondere auf Treibhausgasemissionen, Wasserverbrauch, Biodiversität, Abfall, Soziales und Arbeitnehmerbelange (einschließlich Menschenrechte und Korruption). Wenn Sie sich dazu entscheiden, dass die wichtigsten nachteiligen Auswirkungen Ihrer Investitionsentscheidungen auf Nachhaltigkeitsfaktoren bei der Produktauswahl berücksichtigt werden sollen, beachten wir im Rahmen des Auswahlprozesses die von den Produktanbietern bereitgestellten Informationen sowie die von den Produktanbietern dargelegten Strategien. </w:t>
      </w:r>
    </w:p>
    <w:p w14:paraId="09CD1B46" w14:textId="77777777" w:rsidR="00E570C8" w:rsidRPr="008B5EAD" w:rsidRDefault="00E570C8" w:rsidP="00CD0528">
      <w:pPr>
        <w:spacing w:line="360" w:lineRule="auto"/>
        <w:jc w:val="both"/>
        <w:rPr>
          <w:rFonts w:ascii="Arial" w:hAnsi="Arial" w:cs="Arial"/>
        </w:rPr>
      </w:pPr>
    </w:p>
    <w:p w14:paraId="1C9C03CE" w14:textId="2EEFB120" w:rsidR="00E570C8" w:rsidRPr="00EC3ADE" w:rsidRDefault="00006E7E" w:rsidP="00CD0528">
      <w:pPr>
        <w:spacing w:line="360" w:lineRule="auto"/>
        <w:jc w:val="both"/>
        <w:rPr>
          <w:rFonts w:ascii="Arial" w:hAnsi="Arial" w:cs="Arial"/>
          <w:i/>
          <w:iCs/>
          <w:color w:val="FF0000"/>
        </w:rPr>
      </w:pPr>
      <w:r>
        <w:rPr>
          <w:rFonts w:ascii="Arial" w:hAnsi="Arial" w:cs="Arial"/>
          <w:b/>
          <w:bCs/>
          <w:i/>
          <w:iCs/>
        </w:rPr>
        <w:lastRenderedPageBreak/>
        <w:br/>
      </w:r>
      <w:r w:rsidR="00E570C8" w:rsidRPr="00EC3ADE">
        <w:rPr>
          <w:rFonts w:ascii="Arial" w:hAnsi="Arial" w:cs="Arial"/>
          <w:b/>
          <w:bCs/>
          <w:i/>
          <w:iCs/>
          <w:color w:val="FF0000"/>
        </w:rPr>
        <w:t xml:space="preserve">Alternative 1 – falls keine eigene Einstufungs- und Auswahlmethode vorliegt: </w:t>
      </w:r>
    </w:p>
    <w:p w14:paraId="284AB23B" w14:textId="77777777" w:rsidR="00E570C8" w:rsidRPr="00417F5C" w:rsidRDefault="00E570C8" w:rsidP="00CD0528">
      <w:pPr>
        <w:spacing w:line="360" w:lineRule="auto"/>
        <w:jc w:val="both"/>
        <w:rPr>
          <w:rFonts w:ascii="Arial" w:hAnsi="Arial" w:cs="Arial"/>
        </w:rPr>
      </w:pPr>
      <w:r w:rsidRPr="008B5EAD">
        <w:rPr>
          <w:rFonts w:ascii="Arial" w:hAnsi="Arial" w:cs="Arial"/>
        </w:rPr>
        <w:t xml:space="preserve">Eigene Einstufungs- und Auswahlmethoden zu den Informationen der Produktanbieter </w:t>
      </w:r>
      <w:r w:rsidRPr="00417F5C">
        <w:rPr>
          <w:rFonts w:ascii="Arial" w:hAnsi="Arial" w:cs="Arial"/>
        </w:rPr>
        <w:t>wenden wir nicht an. Es erfolgt keine gesonderte Prüfung der Angaben der Produktanbieter in Hinblick auf ihre Plausibilität.</w:t>
      </w:r>
    </w:p>
    <w:p w14:paraId="54A44458" w14:textId="77777777" w:rsidR="00E570C8" w:rsidRPr="00EC3ADE" w:rsidRDefault="00E570C8" w:rsidP="00CD0528">
      <w:pPr>
        <w:spacing w:line="360" w:lineRule="auto"/>
        <w:jc w:val="both"/>
        <w:rPr>
          <w:rFonts w:ascii="Arial" w:hAnsi="Arial" w:cs="Arial"/>
          <w:i/>
          <w:iCs/>
          <w:color w:val="FF0000"/>
        </w:rPr>
      </w:pPr>
      <w:r w:rsidRPr="00EC3ADE">
        <w:rPr>
          <w:rFonts w:ascii="Arial" w:hAnsi="Arial" w:cs="Arial"/>
          <w:b/>
          <w:bCs/>
          <w:i/>
          <w:iCs/>
          <w:color w:val="FF0000"/>
        </w:rPr>
        <w:t>Alternative 2 – falls eine eigene Einstufungs- und Auswahlmethode vorliegt, kann diese an dieser Stelle beschrieben werden. Ein Beispiel:</w:t>
      </w:r>
      <w:r w:rsidRPr="00EC3ADE">
        <w:rPr>
          <w:rFonts w:ascii="Arial" w:hAnsi="Arial" w:cs="Arial"/>
          <w:i/>
          <w:iCs/>
          <w:color w:val="FF0000"/>
        </w:rPr>
        <w:t xml:space="preserve"> </w:t>
      </w:r>
    </w:p>
    <w:p w14:paraId="5CF6C670" w14:textId="444C4CDA" w:rsidR="00D90702" w:rsidRDefault="00E570C8" w:rsidP="00CD0528">
      <w:pPr>
        <w:spacing w:after="0" w:line="360" w:lineRule="auto"/>
        <w:rPr>
          <w:rFonts w:ascii="Arial" w:hAnsi="Arial" w:cs="Arial"/>
        </w:rPr>
      </w:pPr>
      <w:r w:rsidRPr="00417F5C">
        <w:rPr>
          <w:rFonts w:ascii="Arial" w:hAnsi="Arial" w:cs="Arial"/>
        </w:rPr>
        <w:t>Wir nutzen – sofern verfügbar – die Beurteilung von Ratingagenturen, um eine eigene Einstufungs- und Auswahlmethode hinsichtlich der Informationen der jeweiligen Produktanbieter in Bezug auf die aufgeführten Indikatoren vorzunehmen.</w:t>
      </w:r>
    </w:p>
    <w:p w14:paraId="3E2D2E72" w14:textId="77777777" w:rsidR="00D90702" w:rsidRDefault="00D90702">
      <w:pPr>
        <w:rPr>
          <w:rFonts w:ascii="Arial" w:hAnsi="Arial" w:cs="Arial"/>
        </w:rPr>
      </w:pPr>
      <w:r>
        <w:rPr>
          <w:rFonts w:ascii="Arial" w:hAnsi="Arial" w:cs="Arial"/>
        </w:rPr>
        <w:br w:type="page"/>
      </w:r>
    </w:p>
    <w:p w14:paraId="4BD9A36D" w14:textId="2E5AFA29" w:rsidR="00325A16" w:rsidRPr="00361D5D" w:rsidRDefault="00325A16" w:rsidP="00377D7E">
      <w:pPr>
        <w:spacing w:after="0" w:line="360" w:lineRule="auto"/>
        <w:rPr>
          <w:rFonts w:ascii="Arial" w:hAnsi="Arial" w:cs="Arial"/>
          <w:b/>
          <w:bCs/>
        </w:rPr>
      </w:pPr>
      <w:r w:rsidRPr="00361D5D">
        <w:rPr>
          <w:rFonts w:ascii="Arial" w:hAnsi="Arial" w:cs="Arial"/>
          <w:b/>
          <w:bCs/>
        </w:rPr>
        <w:lastRenderedPageBreak/>
        <w:t xml:space="preserve">Informationen </w:t>
      </w:r>
      <w:r w:rsidR="003630FC" w:rsidRPr="00361D5D">
        <w:rPr>
          <w:rFonts w:ascii="Arial" w:hAnsi="Arial" w:cs="Arial"/>
          <w:b/>
          <w:bCs/>
        </w:rPr>
        <w:t xml:space="preserve">zur </w:t>
      </w:r>
      <w:r w:rsidRPr="00361D5D">
        <w:rPr>
          <w:rFonts w:ascii="Arial" w:hAnsi="Arial" w:cs="Arial"/>
          <w:b/>
          <w:bCs/>
        </w:rPr>
        <w:t xml:space="preserve">Vergütungspolitik </w:t>
      </w:r>
      <w:r w:rsidR="003630FC" w:rsidRPr="00361D5D">
        <w:rPr>
          <w:rFonts w:ascii="Arial" w:hAnsi="Arial" w:cs="Arial"/>
          <w:b/>
          <w:bCs/>
        </w:rPr>
        <w:t xml:space="preserve">bei der </w:t>
      </w:r>
      <w:r w:rsidRPr="00361D5D">
        <w:rPr>
          <w:rFonts w:ascii="Arial" w:hAnsi="Arial" w:cs="Arial"/>
          <w:b/>
          <w:bCs/>
        </w:rPr>
        <w:t>Berücksichtigung von Nachhaltigkeitsrisiken (Art. 5 TVO)</w:t>
      </w:r>
    </w:p>
    <w:p w14:paraId="4983328A" w14:textId="77777777" w:rsidR="003E05D4" w:rsidRPr="00361D5D" w:rsidRDefault="003E05D4" w:rsidP="00377D7E">
      <w:pPr>
        <w:spacing w:after="0" w:line="360" w:lineRule="auto"/>
        <w:rPr>
          <w:rFonts w:ascii="Arial" w:hAnsi="Arial" w:cs="Arial"/>
          <w:b/>
          <w:color w:val="000000" w:themeColor="text1"/>
        </w:rPr>
      </w:pPr>
    </w:p>
    <w:p w14:paraId="68C15568" w14:textId="6D4915E9" w:rsidR="003E05D4" w:rsidRPr="009F392A" w:rsidRDefault="003E05D4" w:rsidP="00377D7E">
      <w:pPr>
        <w:spacing w:after="0" w:line="360" w:lineRule="auto"/>
        <w:rPr>
          <w:rFonts w:ascii="Arial" w:hAnsi="Arial" w:cs="Arial"/>
          <w:b/>
          <w:i/>
          <w:iCs/>
          <w:color w:val="FF0000"/>
        </w:rPr>
      </w:pPr>
      <w:r w:rsidRPr="009F392A">
        <w:rPr>
          <w:rFonts w:ascii="Arial" w:hAnsi="Arial" w:cs="Arial"/>
          <w:b/>
          <w:i/>
          <w:iCs/>
          <w:color w:val="FF0000"/>
        </w:rPr>
        <w:t xml:space="preserve">Alternative 1 </w:t>
      </w:r>
      <w:r w:rsidR="0039334F" w:rsidRPr="009F392A">
        <w:rPr>
          <w:rFonts w:ascii="Arial" w:hAnsi="Arial" w:cs="Arial"/>
          <w:b/>
          <w:i/>
          <w:iCs/>
          <w:color w:val="FF0000"/>
        </w:rPr>
        <w:t>(Mehrvergütung bei der Berücksichtigung von Nachhaltigkeitsrisiken)</w:t>
      </w:r>
    </w:p>
    <w:p w14:paraId="2F908E46" w14:textId="31626CB3" w:rsidR="003E05D4" w:rsidRPr="009F392A" w:rsidRDefault="003E05D4" w:rsidP="00377D7E">
      <w:pPr>
        <w:spacing w:after="0" w:line="360" w:lineRule="auto"/>
        <w:rPr>
          <w:rFonts w:ascii="Arial" w:hAnsi="Arial" w:cs="Arial"/>
          <w:i/>
          <w:iCs/>
          <w:color w:val="000000" w:themeColor="text1"/>
        </w:rPr>
      </w:pPr>
      <w:r w:rsidRPr="009F392A">
        <w:rPr>
          <w:rFonts w:ascii="Arial" w:hAnsi="Arial" w:cs="Arial"/>
          <w:i/>
          <w:iCs/>
          <w:color w:val="000000" w:themeColor="text1"/>
        </w:rPr>
        <w:t>Die Vergütung für die Vermittlung von Finanzprodukten wird grundsätzlich nicht von den Nachhaltigkeitsrisiken beeinflusst.</w:t>
      </w:r>
      <w:r w:rsidRPr="009F392A">
        <w:rPr>
          <w:rFonts w:ascii="Arial" w:hAnsi="Arial" w:cs="Arial"/>
          <w:i/>
          <w:iCs/>
          <w:color w:val="000000" w:themeColor="text1"/>
        </w:rPr>
        <w:br/>
        <w:t>Es kann vorkommen, dass Anbieter die Berücksichtigung von Nachhaltigkeitsrisiken bei Investitionen höher vergüten. Wenn dies dem Kundeninteresses nicht widerspricht, wird die höhere Vergütung angenommen.</w:t>
      </w:r>
    </w:p>
    <w:p w14:paraId="27F0E26D" w14:textId="77777777" w:rsidR="003E05D4" w:rsidRPr="009F392A" w:rsidRDefault="003E05D4" w:rsidP="00377D7E">
      <w:pPr>
        <w:spacing w:after="0" w:line="360" w:lineRule="auto"/>
        <w:rPr>
          <w:rFonts w:ascii="Arial" w:hAnsi="Arial" w:cs="Arial"/>
          <w:b/>
          <w:i/>
          <w:iCs/>
        </w:rPr>
      </w:pPr>
    </w:p>
    <w:p w14:paraId="55FDE7E5" w14:textId="230388E3" w:rsidR="003E05D4" w:rsidRPr="009F392A" w:rsidRDefault="003E05D4" w:rsidP="00377D7E">
      <w:pPr>
        <w:spacing w:after="0" w:line="360" w:lineRule="auto"/>
        <w:rPr>
          <w:rFonts w:ascii="Arial" w:hAnsi="Arial" w:cs="Arial"/>
          <w:b/>
          <w:i/>
          <w:iCs/>
          <w:color w:val="FF0000"/>
        </w:rPr>
      </w:pPr>
      <w:r w:rsidRPr="009F392A">
        <w:rPr>
          <w:rFonts w:ascii="Arial" w:hAnsi="Arial" w:cs="Arial"/>
          <w:b/>
          <w:i/>
          <w:iCs/>
          <w:color w:val="FF0000"/>
        </w:rPr>
        <w:t>Alternative 2</w:t>
      </w:r>
      <w:r w:rsidR="0039334F" w:rsidRPr="009F392A">
        <w:rPr>
          <w:rFonts w:ascii="Arial" w:hAnsi="Arial" w:cs="Arial"/>
          <w:b/>
          <w:i/>
          <w:iCs/>
          <w:color w:val="FF0000"/>
        </w:rPr>
        <w:t xml:space="preserve"> (</w:t>
      </w:r>
      <w:r w:rsidRPr="009F392A">
        <w:rPr>
          <w:rFonts w:ascii="Arial" w:hAnsi="Arial" w:cs="Arial"/>
          <w:b/>
          <w:i/>
          <w:iCs/>
          <w:color w:val="FF0000"/>
        </w:rPr>
        <w:t>Vergütung unabhängig von Nachhaltigkeitsrisiken</w:t>
      </w:r>
      <w:r w:rsidR="0039334F" w:rsidRPr="009F392A">
        <w:rPr>
          <w:rFonts w:ascii="Arial" w:hAnsi="Arial" w:cs="Arial"/>
          <w:b/>
          <w:i/>
          <w:iCs/>
          <w:color w:val="FF0000"/>
        </w:rPr>
        <w:t>)</w:t>
      </w:r>
    </w:p>
    <w:p w14:paraId="7C3FE1B0" w14:textId="57CD7353" w:rsidR="003E05D4" w:rsidRPr="009F392A" w:rsidRDefault="003E05D4" w:rsidP="00377D7E">
      <w:pPr>
        <w:spacing w:after="0" w:line="360" w:lineRule="auto"/>
        <w:rPr>
          <w:rFonts w:ascii="Arial" w:hAnsi="Arial" w:cs="Arial"/>
          <w:b/>
          <w:bCs/>
          <w:i/>
          <w:iCs/>
          <w:color w:val="FF0000"/>
        </w:rPr>
      </w:pPr>
      <w:r w:rsidRPr="009F392A">
        <w:rPr>
          <w:rFonts w:ascii="Arial" w:hAnsi="Arial" w:cs="Arial"/>
          <w:i/>
          <w:iCs/>
          <w:color w:val="000000" w:themeColor="text1"/>
        </w:rPr>
        <w:t>Die Vergütung für die Vermittlung von Finanzprodukten wird nicht von den jeweiligen Nachhaltigkeitsrisiken beeinflusst.</w:t>
      </w:r>
      <w:r w:rsidRPr="009F392A">
        <w:rPr>
          <w:rFonts w:ascii="Arial" w:hAnsi="Arial" w:cs="Arial"/>
          <w:i/>
          <w:iCs/>
          <w:color w:val="000000" w:themeColor="text1"/>
        </w:rPr>
        <w:br/>
      </w:r>
      <w:r w:rsidRPr="009F392A">
        <w:rPr>
          <w:rFonts w:ascii="Arial" w:hAnsi="Arial" w:cs="Arial"/>
          <w:i/>
          <w:iCs/>
          <w:color w:val="000000" w:themeColor="text1"/>
        </w:rPr>
        <w:br/>
      </w:r>
      <w:r w:rsidR="0039334F" w:rsidRPr="009F392A">
        <w:rPr>
          <w:rFonts w:ascii="Arial" w:hAnsi="Arial" w:cs="Arial"/>
          <w:b/>
          <w:bCs/>
          <w:i/>
          <w:iCs/>
          <w:color w:val="FF0000"/>
        </w:rPr>
        <w:t>Nur w</w:t>
      </w:r>
      <w:r w:rsidRPr="009F392A">
        <w:rPr>
          <w:rFonts w:ascii="Arial" w:hAnsi="Arial" w:cs="Arial"/>
          <w:b/>
          <w:bCs/>
          <w:i/>
          <w:iCs/>
          <w:color w:val="FF0000"/>
        </w:rPr>
        <w:t>enn zutreffend</w:t>
      </w:r>
      <w:r w:rsidR="0039334F" w:rsidRPr="009F392A">
        <w:rPr>
          <w:rFonts w:ascii="Arial" w:hAnsi="Arial" w:cs="Arial"/>
          <w:b/>
          <w:bCs/>
          <w:i/>
          <w:iCs/>
          <w:color w:val="FF0000"/>
        </w:rPr>
        <w:t xml:space="preserve"> (</w:t>
      </w:r>
      <w:r w:rsidRPr="009F392A">
        <w:rPr>
          <w:rFonts w:ascii="Arial" w:hAnsi="Arial" w:cs="Arial"/>
          <w:b/>
          <w:bCs/>
          <w:i/>
          <w:iCs/>
          <w:color w:val="FF0000"/>
        </w:rPr>
        <w:t>Information zur Mitarbeitervergütung</w:t>
      </w:r>
      <w:r w:rsidR="0039334F" w:rsidRPr="009F392A">
        <w:rPr>
          <w:rFonts w:ascii="Arial" w:hAnsi="Arial" w:cs="Arial"/>
          <w:b/>
          <w:bCs/>
          <w:i/>
          <w:iCs/>
          <w:color w:val="FF0000"/>
        </w:rPr>
        <w:t>)</w:t>
      </w:r>
    </w:p>
    <w:p w14:paraId="66664583" w14:textId="7FCE1F86" w:rsidR="003E05D4" w:rsidRPr="009F392A" w:rsidRDefault="003E05D4" w:rsidP="00377D7E">
      <w:pPr>
        <w:spacing w:after="0" w:line="360" w:lineRule="auto"/>
        <w:rPr>
          <w:rFonts w:ascii="Arial" w:hAnsi="Arial" w:cs="Arial"/>
          <w:i/>
          <w:iCs/>
          <w:color w:val="000000" w:themeColor="text1"/>
        </w:rPr>
      </w:pPr>
      <w:r w:rsidRPr="009F392A">
        <w:rPr>
          <w:rFonts w:ascii="Arial" w:hAnsi="Arial" w:cs="Arial"/>
          <w:i/>
          <w:iCs/>
          <w:color w:val="000000" w:themeColor="text1"/>
        </w:rPr>
        <w:t xml:space="preserve">Der Finanzberater fördert die Einbeziehung von Nachhaltigkeitsrisiken ggf. durch eine höhere </w:t>
      </w:r>
      <w:r w:rsidR="0039334F" w:rsidRPr="009F392A">
        <w:rPr>
          <w:rFonts w:ascii="Arial" w:hAnsi="Arial" w:cs="Arial"/>
          <w:i/>
          <w:iCs/>
          <w:color w:val="000000" w:themeColor="text1"/>
        </w:rPr>
        <w:t>Mitarbeitervergütung</w:t>
      </w:r>
      <w:r w:rsidRPr="009F392A">
        <w:rPr>
          <w:rFonts w:ascii="Arial" w:hAnsi="Arial" w:cs="Arial"/>
          <w:i/>
          <w:iCs/>
          <w:color w:val="000000" w:themeColor="text1"/>
        </w:rPr>
        <w:t>.</w:t>
      </w:r>
    </w:p>
    <w:p w14:paraId="542BA5ED" w14:textId="77777777" w:rsidR="00766211" w:rsidRPr="00361D5D" w:rsidRDefault="00766211">
      <w:pPr>
        <w:rPr>
          <w:rFonts w:ascii="Arial" w:hAnsi="Arial" w:cs="Arial"/>
          <w:b/>
          <w:bCs/>
          <w:i/>
          <w:iCs/>
        </w:rPr>
      </w:pPr>
      <w:r w:rsidRPr="00361D5D">
        <w:rPr>
          <w:rFonts w:ascii="Arial" w:hAnsi="Arial" w:cs="Arial"/>
          <w:b/>
          <w:bCs/>
          <w:i/>
          <w:iCs/>
        </w:rPr>
        <w:br w:type="page"/>
      </w:r>
    </w:p>
    <w:p w14:paraId="5FB7CE64" w14:textId="3C4C3F78" w:rsidR="003630FC" w:rsidRPr="009F392A" w:rsidRDefault="00E04ED5" w:rsidP="006F17DC">
      <w:pPr>
        <w:pStyle w:val="berschrift1"/>
      </w:pPr>
      <w:r w:rsidRPr="009F392A">
        <w:lastRenderedPageBreak/>
        <w:t xml:space="preserve">Für die </w:t>
      </w:r>
      <w:r w:rsidR="003630FC" w:rsidRPr="009F392A">
        <w:t>BERATUNGSDOKUMENTATION</w:t>
      </w:r>
    </w:p>
    <w:p w14:paraId="75A5E525" w14:textId="77777777" w:rsidR="00650EE6" w:rsidRDefault="00650EE6" w:rsidP="00377D7E">
      <w:pPr>
        <w:spacing w:after="0" w:line="360" w:lineRule="auto"/>
        <w:rPr>
          <w:rFonts w:ascii="Arial" w:hAnsi="Arial" w:cs="Arial"/>
          <w:b/>
          <w:bCs/>
          <w:color w:val="000000" w:themeColor="text1"/>
        </w:rPr>
      </w:pPr>
    </w:p>
    <w:p w14:paraId="7A4F93AA" w14:textId="77777777" w:rsidR="004003B1" w:rsidRDefault="004003B1" w:rsidP="00377D7E">
      <w:pPr>
        <w:spacing w:after="0" w:line="360" w:lineRule="auto"/>
        <w:rPr>
          <w:rFonts w:ascii="Arial" w:hAnsi="Arial" w:cs="Arial"/>
          <w:b/>
          <w:bCs/>
          <w:color w:val="000000" w:themeColor="text1"/>
        </w:rPr>
      </w:pPr>
    </w:p>
    <w:p w14:paraId="24901EC4" w14:textId="77777777" w:rsidR="004003B1" w:rsidRPr="00361D5D" w:rsidRDefault="004003B1" w:rsidP="00377D7E">
      <w:pPr>
        <w:spacing w:after="0" w:line="360" w:lineRule="auto"/>
        <w:rPr>
          <w:rFonts w:ascii="Arial" w:hAnsi="Arial" w:cs="Arial"/>
          <w:b/>
          <w:bCs/>
          <w:color w:val="000000" w:themeColor="text1"/>
        </w:rPr>
      </w:pPr>
    </w:p>
    <w:p w14:paraId="2B9478FD" w14:textId="27DA8062" w:rsidR="00884897" w:rsidRPr="00361D5D" w:rsidRDefault="0039334F" w:rsidP="00377D7E">
      <w:pPr>
        <w:spacing w:after="0" w:line="360" w:lineRule="auto"/>
        <w:rPr>
          <w:rFonts w:ascii="Arial" w:hAnsi="Arial" w:cs="Arial"/>
          <w:b/>
          <w:bCs/>
          <w:color w:val="000000" w:themeColor="text1"/>
        </w:rPr>
      </w:pPr>
      <w:r w:rsidRPr="00361D5D">
        <w:rPr>
          <w:rFonts w:ascii="Arial" w:hAnsi="Arial" w:cs="Arial"/>
          <w:b/>
          <w:bCs/>
          <w:color w:val="000000" w:themeColor="text1"/>
        </w:rPr>
        <w:t>V</w:t>
      </w:r>
      <w:r w:rsidR="003630FC" w:rsidRPr="00361D5D">
        <w:rPr>
          <w:rFonts w:ascii="Arial" w:hAnsi="Arial" w:cs="Arial"/>
          <w:b/>
          <w:bCs/>
          <w:color w:val="000000" w:themeColor="text1"/>
        </w:rPr>
        <w:t>orvertragliche Information zur Berücksichtigung von Nachhaltigkeitsrisiken im Beratungsprozess (</w:t>
      </w:r>
      <w:r w:rsidR="00377D7E" w:rsidRPr="00361D5D">
        <w:rPr>
          <w:rFonts w:ascii="Arial" w:hAnsi="Arial" w:cs="Arial"/>
          <w:b/>
          <w:bCs/>
          <w:color w:val="000000" w:themeColor="text1"/>
        </w:rPr>
        <w:t>Art.</w:t>
      </w:r>
      <w:r w:rsidR="003630FC" w:rsidRPr="00361D5D">
        <w:rPr>
          <w:rFonts w:ascii="Arial" w:hAnsi="Arial" w:cs="Arial"/>
          <w:b/>
          <w:bCs/>
          <w:color w:val="000000" w:themeColor="text1"/>
        </w:rPr>
        <w:t xml:space="preserve"> 6 TVO)</w:t>
      </w:r>
    </w:p>
    <w:p w14:paraId="217F55E1" w14:textId="77777777" w:rsidR="003630FC" w:rsidRPr="00361D5D" w:rsidRDefault="003630FC" w:rsidP="00377D7E">
      <w:pPr>
        <w:spacing w:after="0" w:line="360" w:lineRule="auto"/>
        <w:rPr>
          <w:rFonts w:ascii="Arial" w:hAnsi="Arial" w:cs="Arial"/>
          <w:b/>
          <w:bCs/>
          <w:i/>
          <w:iCs/>
          <w:color w:val="000000" w:themeColor="text1"/>
        </w:rPr>
      </w:pPr>
    </w:p>
    <w:p w14:paraId="3109F924" w14:textId="3CB8EE65" w:rsidR="00B45D79" w:rsidRPr="009F392A" w:rsidRDefault="00B45D79" w:rsidP="00377D7E">
      <w:pPr>
        <w:spacing w:after="0" w:line="360" w:lineRule="auto"/>
        <w:rPr>
          <w:rFonts w:ascii="Arial" w:hAnsi="Arial" w:cs="Arial"/>
          <w:b/>
          <w:bCs/>
          <w:i/>
          <w:iCs/>
          <w:color w:val="FF0000"/>
        </w:rPr>
      </w:pPr>
      <w:r w:rsidRPr="009F392A">
        <w:rPr>
          <w:rFonts w:ascii="Arial" w:hAnsi="Arial" w:cs="Arial"/>
          <w:b/>
          <w:bCs/>
          <w:i/>
          <w:iCs/>
          <w:color w:val="FF0000"/>
        </w:rPr>
        <w:t>Alternative 1 (nur, sofern die Berücksichtigung von Nachhaltigkeitsrisiken ein maßgebliches Auswahlkriterium</w:t>
      </w:r>
      <w:r w:rsidR="00563F46" w:rsidRPr="009F392A">
        <w:rPr>
          <w:rFonts w:ascii="Arial" w:hAnsi="Arial" w:cs="Arial"/>
          <w:b/>
          <w:bCs/>
          <w:i/>
          <w:iCs/>
          <w:color w:val="FF0000"/>
        </w:rPr>
        <w:t xml:space="preserve"> für Produkte</w:t>
      </w:r>
      <w:r w:rsidRPr="009F392A">
        <w:rPr>
          <w:rFonts w:ascii="Arial" w:hAnsi="Arial" w:cs="Arial"/>
          <w:b/>
          <w:bCs/>
          <w:i/>
          <w:iCs/>
          <w:color w:val="FF0000"/>
        </w:rPr>
        <w:t xml:space="preserve"> ist)</w:t>
      </w:r>
    </w:p>
    <w:p w14:paraId="205A6757" w14:textId="189B0EA3" w:rsidR="00B45D79" w:rsidRPr="009F392A" w:rsidRDefault="00B45D79" w:rsidP="00377D7E">
      <w:pPr>
        <w:spacing w:after="0" w:line="360" w:lineRule="auto"/>
        <w:rPr>
          <w:rFonts w:ascii="Arial" w:hAnsi="Arial" w:cs="Arial"/>
          <w:i/>
          <w:iCs/>
        </w:rPr>
      </w:pPr>
      <w:r w:rsidRPr="009F392A">
        <w:rPr>
          <w:rFonts w:ascii="Arial" w:hAnsi="Arial" w:cs="Arial"/>
          <w:i/>
          <w:iCs/>
        </w:rPr>
        <w:t>Bei der Beratung zu Finanzprodukten werden Nachhaltigkeitsrisiken einbezogen, indem die Angebote am Markt auch diesbezüglich beobachtet werden. Bei der Produktauswahl wird geprüft, ob Anbieter Nachhaltigkeitsrisiken aus Sicht des Finanzberaters in angemessener Art und Weise berücksichtigen.</w:t>
      </w:r>
      <w:r w:rsidR="00650EE6" w:rsidRPr="009F392A">
        <w:rPr>
          <w:rFonts w:ascii="Arial" w:hAnsi="Arial" w:cs="Arial"/>
          <w:i/>
          <w:iCs/>
        </w:rPr>
        <w:t xml:space="preserve"> </w:t>
      </w:r>
      <w:r w:rsidR="00550089" w:rsidRPr="009F392A">
        <w:rPr>
          <w:rFonts w:ascii="Arial" w:hAnsi="Arial" w:cs="Arial"/>
          <w:i/>
          <w:iCs/>
          <w:color w:val="000000"/>
        </w:rPr>
        <w:t xml:space="preserve">Auf Grund sich aufbauender, aber aktuell noch ggf. rudimentärer Informationen durch die Anbieter kann dies derzeit lediglich bedingt erfolgen. </w:t>
      </w:r>
      <w:r w:rsidRPr="009F392A">
        <w:rPr>
          <w:rFonts w:ascii="Arial" w:hAnsi="Arial" w:cs="Arial"/>
          <w:i/>
          <w:iCs/>
        </w:rPr>
        <w:t>Berücksichtigt der Anbieter Nachhaltigkeitsrisiken nach Einschätzung des Finanzberaters nicht in angemessener Art und Weise</w:t>
      </w:r>
      <w:r w:rsidR="0039334F" w:rsidRPr="009F392A">
        <w:rPr>
          <w:rFonts w:ascii="Arial" w:hAnsi="Arial" w:cs="Arial"/>
          <w:i/>
          <w:iCs/>
        </w:rPr>
        <w:t>,</w:t>
      </w:r>
      <w:r w:rsidRPr="009F392A">
        <w:rPr>
          <w:rFonts w:ascii="Arial" w:hAnsi="Arial" w:cs="Arial"/>
          <w:i/>
          <w:iCs/>
        </w:rPr>
        <w:t xml:space="preserve"> wird keine Empfehlung ausgesprochen. </w:t>
      </w:r>
      <w:r w:rsidR="0039334F" w:rsidRPr="009F392A">
        <w:rPr>
          <w:rFonts w:ascii="Arial" w:hAnsi="Arial" w:cs="Arial"/>
          <w:i/>
          <w:iCs/>
        </w:rPr>
        <w:t>Es erfolgt ein Hinweis</w:t>
      </w:r>
      <w:r w:rsidRPr="009F392A">
        <w:rPr>
          <w:rFonts w:ascii="Arial" w:hAnsi="Arial" w:cs="Arial"/>
          <w:i/>
          <w:iCs/>
        </w:rPr>
        <w:t>, wenn es dadurch zu einer Einschränkung der Auswahl bei den Finanzprodukten kommt.</w:t>
      </w:r>
      <w:r w:rsidR="003630FC" w:rsidRPr="009F392A">
        <w:rPr>
          <w:rFonts w:ascii="Arial" w:hAnsi="Arial" w:cs="Arial"/>
          <w:i/>
          <w:iCs/>
        </w:rPr>
        <w:t xml:space="preserve"> Trotz der Berücksichtigung von Nachhaltigkeitsrisiken kann nicht ausgeschlossen</w:t>
      </w:r>
      <w:r w:rsidR="00BB3BAC" w:rsidRPr="009F392A">
        <w:rPr>
          <w:rFonts w:ascii="Arial" w:hAnsi="Arial" w:cs="Arial"/>
          <w:i/>
          <w:iCs/>
        </w:rPr>
        <w:t xml:space="preserve"> werden</w:t>
      </w:r>
      <w:r w:rsidR="003630FC" w:rsidRPr="009F392A">
        <w:rPr>
          <w:rFonts w:ascii="Arial" w:hAnsi="Arial" w:cs="Arial"/>
          <w:i/>
          <w:iCs/>
        </w:rPr>
        <w:t>, dass sich der Eintritt von Nachhaltigkeitsrisiken negativ auf die Rendite des Finanzproduktes auswirkt.</w:t>
      </w:r>
    </w:p>
    <w:p w14:paraId="606EF52A" w14:textId="1D121A6C" w:rsidR="00884897" w:rsidRPr="00361D5D" w:rsidRDefault="00884897" w:rsidP="00377D7E">
      <w:pPr>
        <w:spacing w:after="0" w:line="360" w:lineRule="auto"/>
        <w:rPr>
          <w:rFonts w:ascii="Arial" w:hAnsi="Arial" w:cs="Arial"/>
          <w:color w:val="000000" w:themeColor="text1"/>
        </w:rPr>
      </w:pPr>
    </w:p>
    <w:p w14:paraId="5A8C6C63" w14:textId="0D22171E" w:rsidR="00884897" w:rsidRPr="009F392A" w:rsidRDefault="00884897" w:rsidP="00377D7E">
      <w:pPr>
        <w:spacing w:after="0" w:line="360" w:lineRule="auto"/>
        <w:rPr>
          <w:rFonts w:ascii="Arial" w:hAnsi="Arial" w:cs="Arial"/>
          <w:b/>
          <w:bCs/>
          <w:i/>
          <w:iCs/>
          <w:color w:val="FF0000"/>
        </w:rPr>
      </w:pPr>
      <w:r w:rsidRPr="009F392A">
        <w:rPr>
          <w:rFonts w:ascii="Arial" w:hAnsi="Arial" w:cs="Arial"/>
          <w:b/>
          <w:bCs/>
          <w:i/>
          <w:iCs/>
          <w:color w:val="FF0000"/>
        </w:rPr>
        <w:t xml:space="preserve">Alternative </w:t>
      </w:r>
      <w:r w:rsidR="00B45D79" w:rsidRPr="009F392A">
        <w:rPr>
          <w:rFonts w:ascii="Arial" w:hAnsi="Arial" w:cs="Arial"/>
          <w:b/>
          <w:bCs/>
          <w:i/>
          <w:iCs/>
          <w:color w:val="FF0000"/>
        </w:rPr>
        <w:t>2</w:t>
      </w:r>
      <w:r w:rsidRPr="009F392A">
        <w:rPr>
          <w:rFonts w:ascii="Arial" w:hAnsi="Arial" w:cs="Arial"/>
          <w:b/>
          <w:bCs/>
          <w:i/>
          <w:iCs/>
          <w:color w:val="FF0000"/>
        </w:rPr>
        <w:t xml:space="preserve"> (</w:t>
      </w:r>
      <w:r w:rsidR="00B45D79" w:rsidRPr="009F392A">
        <w:rPr>
          <w:rFonts w:ascii="Arial" w:hAnsi="Arial" w:cs="Arial"/>
          <w:b/>
          <w:bCs/>
          <w:i/>
          <w:iCs/>
          <w:color w:val="FF0000"/>
        </w:rPr>
        <w:t xml:space="preserve">zu verwenden, wenn Nachhaltigkeitsrisiken auf Basis der </w:t>
      </w:r>
      <w:r w:rsidR="00563F46" w:rsidRPr="009F392A">
        <w:rPr>
          <w:rFonts w:ascii="Arial" w:hAnsi="Arial" w:cs="Arial"/>
          <w:b/>
          <w:bCs/>
          <w:i/>
          <w:iCs/>
          <w:color w:val="FF0000"/>
        </w:rPr>
        <w:t>Produkt</w:t>
      </w:r>
      <w:r w:rsidR="00B45D79" w:rsidRPr="009F392A">
        <w:rPr>
          <w:rFonts w:ascii="Arial" w:hAnsi="Arial" w:cs="Arial"/>
          <w:b/>
          <w:bCs/>
          <w:i/>
          <w:iCs/>
          <w:color w:val="FF0000"/>
        </w:rPr>
        <w:t xml:space="preserve">informationen </w:t>
      </w:r>
      <w:r w:rsidR="00563F46" w:rsidRPr="009F392A">
        <w:rPr>
          <w:rFonts w:ascii="Arial" w:hAnsi="Arial" w:cs="Arial"/>
          <w:b/>
          <w:bCs/>
          <w:i/>
          <w:iCs/>
          <w:color w:val="FF0000"/>
        </w:rPr>
        <w:t>bewertet werden</w:t>
      </w:r>
      <w:r w:rsidR="00B45D79" w:rsidRPr="009F392A">
        <w:rPr>
          <w:rFonts w:ascii="Arial" w:hAnsi="Arial" w:cs="Arial"/>
          <w:b/>
          <w:bCs/>
          <w:i/>
          <w:iCs/>
          <w:color w:val="FF0000"/>
        </w:rPr>
        <w:t>)</w:t>
      </w:r>
    </w:p>
    <w:p w14:paraId="2C9ED6F1" w14:textId="24F6DA2D" w:rsidR="003630FC" w:rsidRPr="009F392A" w:rsidRDefault="00884897" w:rsidP="00377D7E">
      <w:pPr>
        <w:spacing w:after="0" w:line="360" w:lineRule="auto"/>
        <w:rPr>
          <w:rFonts w:ascii="Arial" w:hAnsi="Arial" w:cs="Arial"/>
          <w:i/>
          <w:iCs/>
        </w:rPr>
      </w:pPr>
      <w:r w:rsidRPr="009F392A">
        <w:rPr>
          <w:rFonts w:ascii="Arial" w:hAnsi="Arial" w:cs="Arial"/>
          <w:i/>
          <w:iCs/>
          <w:color w:val="000000" w:themeColor="text1"/>
        </w:rPr>
        <w:t xml:space="preserve">Bei der Beratung zu Finanzprodukten werden Nachhaltigkeitsrisiken einbezogen, indem die vorvertraglichen Informationen des Anbieters verwendet werden. </w:t>
      </w:r>
      <w:r w:rsidR="003630FC" w:rsidRPr="009F392A">
        <w:rPr>
          <w:rFonts w:ascii="Arial" w:hAnsi="Arial" w:cs="Arial"/>
          <w:i/>
          <w:iCs/>
        </w:rPr>
        <w:t>Trotz der Berücksichtigung von Nachhaltigkeitsrisiken kann nicht ausgeschlossen</w:t>
      </w:r>
      <w:r w:rsidR="00BB3BAC" w:rsidRPr="009F392A">
        <w:rPr>
          <w:rFonts w:ascii="Arial" w:hAnsi="Arial" w:cs="Arial"/>
          <w:i/>
          <w:iCs/>
        </w:rPr>
        <w:t xml:space="preserve"> werden</w:t>
      </w:r>
      <w:r w:rsidR="003630FC" w:rsidRPr="009F392A">
        <w:rPr>
          <w:rFonts w:ascii="Arial" w:hAnsi="Arial" w:cs="Arial"/>
          <w:i/>
          <w:iCs/>
        </w:rPr>
        <w:t>, dass sich der Eintritt von Nachhaltigkeitsrisiken negativ auf die Rendite des Finanzproduktes auswirkt.</w:t>
      </w:r>
      <w:r w:rsidR="006023D6" w:rsidRPr="009F392A">
        <w:rPr>
          <w:rFonts w:ascii="Arial" w:hAnsi="Arial" w:cs="Arial"/>
          <w:i/>
          <w:iCs/>
        </w:rPr>
        <w:t xml:space="preserve"> </w:t>
      </w:r>
      <w:r w:rsidR="006023D6" w:rsidRPr="009F392A">
        <w:rPr>
          <w:rFonts w:ascii="Arial" w:hAnsi="Arial" w:cs="Arial"/>
          <w:i/>
          <w:iCs/>
          <w:color w:val="000000"/>
        </w:rPr>
        <w:t>Zurzeit kann zudem eine Berücksichtigung auf Grund sich aufbauender, aber aktuell noch ggf. rudimentärer Informationen durch die Anbieter lediglich bedingt erfolgen</w:t>
      </w:r>
      <w:r w:rsidR="00766211" w:rsidRPr="009F392A">
        <w:rPr>
          <w:rFonts w:ascii="Arial" w:hAnsi="Arial" w:cs="Arial"/>
          <w:i/>
          <w:iCs/>
          <w:color w:val="000000"/>
        </w:rPr>
        <w:t>.</w:t>
      </w:r>
    </w:p>
    <w:p w14:paraId="01AC6F04" w14:textId="22A7AF4F" w:rsidR="008E5697" w:rsidRPr="00361D5D" w:rsidRDefault="00563F46" w:rsidP="00377D7E">
      <w:pPr>
        <w:spacing w:after="0" w:line="360" w:lineRule="auto"/>
        <w:rPr>
          <w:rFonts w:ascii="Arial" w:eastAsiaTheme="majorEastAsia" w:hAnsi="Arial" w:cs="Arial"/>
          <w:color w:val="365F91" w:themeColor="accent1" w:themeShade="BF"/>
        </w:rPr>
      </w:pPr>
      <w:r w:rsidRPr="00361D5D">
        <w:rPr>
          <w:rFonts w:ascii="Arial" w:hAnsi="Arial" w:cs="Arial"/>
          <w:color w:val="000000" w:themeColor="text1"/>
        </w:rPr>
        <w:t xml:space="preserve"> </w:t>
      </w:r>
    </w:p>
    <w:sectPr w:rsidR="008E5697" w:rsidRPr="00361D5D" w:rsidSect="001B5AF6">
      <w:footerReference w:type="default" r:id="rId12"/>
      <w:pgSz w:w="16838" w:h="11906" w:orient="landscape"/>
      <w:pgMar w:top="1418" w:right="1418"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4472B" w14:textId="77777777" w:rsidR="00EC2591" w:rsidRDefault="00EC2591" w:rsidP="00740136">
      <w:pPr>
        <w:spacing w:after="0" w:line="240" w:lineRule="auto"/>
      </w:pPr>
      <w:r>
        <w:separator/>
      </w:r>
    </w:p>
  </w:endnote>
  <w:endnote w:type="continuationSeparator" w:id="0">
    <w:p w14:paraId="0BA48C0D" w14:textId="77777777" w:rsidR="00EC2591" w:rsidRDefault="00EC2591" w:rsidP="00740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parkasse Rg">
    <w:altName w:val="Segoe Script"/>
    <w:charset w:val="00"/>
    <w:family w:val="swiss"/>
    <w:pitch w:val="variable"/>
    <w:sig w:usb0="80000027" w:usb1="50000053"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17D43" w14:textId="336117EE" w:rsidR="00740136" w:rsidRDefault="002857A6" w:rsidP="00E62D83">
    <w:pPr>
      <w:pStyle w:val="Fuzeile"/>
      <w:jc w:val="right"/>
    </w:pPr>
    <w:r w:rsidRPr="00770094">
      <w:t>01</w:t>
    </w:r>
    <w:r w:rsidRPr="00EF68D1">
      <w:t>/2023</w:t>
    </w:r>
    <w:r w:rsidR="00740136" w:rsidRPr="00EF68D1">
      <w:t xml:space="preserve"> Version</w:t>
    </w:r>
    <w:r w:rsidR="00740136" w:rsidRPr="00770094">
      <w:t xml:space="preserve"> </w:t>
    </w:r>
    <w:r w:rsidRPr="00770094">
      <w:t>3</w:t>
    </w:r>
    <w:r w:rsidR="00740136" w:rsidRPr="00770094">
      <w:t>.0</w:t>
    </w:r>
  </w:p>
  <w:p w14:paraId="62998C1A" w14:textId="77777777" w:rsidR="00740136" w:rsidRDefault="00740136" w:rsidP="00E62D83">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0B60C" w14:textId="77777777" w:rsidR="00EC2591" w:rsidRDefault="00EC2591" w:rsidP="00740136">
      <w:pPr>
        <w:spacing w:after="0" w:line="240" w:lineRule="auto"/>
      </w:pPr>
      <w:r>
        <w:separator/>
      </w:r>
    </w:p>
  </w:footnote>
  <w:footnote w:type="continuationSeparator" w:id="0">
    <w:p w14:paraId="73CCDD14" w14:textId="77777777" w:rsidR="00EC2591" w:rsidRDefault="00EC2591" w:rsidP="007401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B7B7E"/>
    <w:multiLevelType w:val="hybridMultilevel"/>
    <w:tmpl w:val="E4A656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904184D"/>
    <w:multiLevelType w:val="hybridMultilevel"/>
    <w:tmpl w:val="FEF22A9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39386004"/>
    <w:multiLevelType w:val="hybridMultilevel"/>
    <w:tmpl w:val="44387E56"/>
    <w:lvl w:ilvl="0" w:tplc="31A28052">
      <w:start w:val="1"/>
      <w:numFmt w:val="upperRoman"/>
      <w:lvlText w:val="%1."/>
      <w:lvlJc w:val="left"/>
      <w:pPr>
        <w:ind w:left="1428"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FF0E75"/>
    <w:multiLevelType w:val="hybridMultilevel"/>
    <w:tmpl w:val="B49AEA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FBA6123"/>
    <w:multiLevelType w:val="hybridMultilevel"/>
    <w:tmpl w:val="B20C08F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AC26EF1"/>
    <w:multiLevelType w:val="hybridMultilevel"/>
    <w:tmpl w:val="F5764DA4"/>
    <w:lvl w:ilvl="0" w:tplc="ABE86D34">
      <w:start w:val="2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73850157">
    <w:abstractNumId w:val="0"/>
  </w:num>
  <w:num w:numId="2" w16cid:durableId="1714650215">
    <w:abstractNumId w:val="2"/>
  </w:num>
  <w:num w:numId="3" w16cid:durableId="1824737809">
    <w:abstractNumId w:val="3"/>
  </w:num>
  <w:num w:numId="4" w16cid:durableId="850753332">
    <w:abstractNumId w:val="4"/>
  </w:num>
  <w:num w:numId="5" w16cid:durableId="202909634">
    <w:abstractNumId w:val="1"/>
  </w:num>
  <w:num w:numId="6" w16cid:durableId="6377576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163"/>
    <w:rsid w:val="00006E7E"/>
    <w:rsid w:val="000110DE"/>
    <w:rsid w:val="000128B8"/>
    <w:rsid w:val="0005108E"/>
    <w:rsid w:val="00056AAA"/>
    <w:rsid w:val="00086ED7"/>
    <w:rsid w:val="000876C8"/>
    <w:rsid w:val="000A29F8"/>
    <w:rsid w:val="000B1999"/>
    <w:rsid w:val="000D6DEB"/>
    <w:rsid w:val="000E1630"/>
    <w:rsid w:val="001210E6"/>
    <w:rsid w:val="00122BAE"/>
    <w:rsid w:val="00130A77"/>
    <w:rsid w:val="00153CA4"/>
    <w:rsid w:val="001729F4"/>
    <w:rsid w:val="00183B46"/>
    <w:rsid w:val="00194171"/>
    <w:rsid w:val="001A68EA"/>
    <w:rsid w:val="001A70C4"/>
    <w:rsid w:val="001A774E"/>
    <w:rsid w:val="001B42C6"/>
    <w:rsid w:val="001B4D3B"/>
    <w:rsid w:val="001B5AF6"/>
    <w:rsid w:val="001C4EB1"/>
    <w:rsid w:val="001F567E"/>
    <w:rsid w:val="001F6BD1"/>
    <w:rsid w:val="002129DC"/>
    <w:rsid w:val="002177B2"/>
    <w:rsid w:val="0021787A"/>
    <w:rsid w:val="002329A7"/>
    <w:rsid w:val="0025439C"/>
    <w:rsid w:val="002579F5"/>
    <w:rsid w:val="002643A6"/>
    <w:rsid w:val="002738E1"/>
    <w:rsid w:val="002857A6"/>
    <w:rsid w:val="00290736"/>
    <w:rsid w:val="002911D2"/>
    <w:rsid w:val="002A572E"/>
    <w:rsid w:val="002D5387"/>
    <w:rsid w:val="002F3158"/>
    <w:rsid w:val="00325A16"/>
    <w:rsid w:val="00326904"/>
    <w:rsid w:val="00344D51"/>
    <w:rsid w:val="00352492"/>
    <w:rsid w:val="00361D5D"/>
    <w:rsid w:val="003630FC"/>
    <w:rsid w:val="00365C91"/>
    <w:rsid w:val="00377D7E"/>
    <w:rsid w:val="003918C5"/>
    <w:rsid w:val="0039334F"/>
    <w:rsid w:val="003B1BFB"/>
    <w:rsid w:val="003C4375"/>
    <w:rsid w:val="003D4C2E"/>
    <w:rsid w:val="003D51AD"/>
    <w:rsid w:val="003D6DFB"/>
    <w:rsid w:val="003E05D4"/>
    <w:rsid w:val="003E61F1"/>
    <w:rsid w:val="003F4916"/>
    <w:rsid w:val="004003B1"/>
    <w:rsid w:val="00410513"/>
    <w:rsid w:val="004470E3"/>
    <w:rsid w:val="00456AF9"/>
    <w:rsid w:val="00484B19"/>
    <w:rsid w:val="00485DFF"/>
    <w:rsid w:val="004865E2"/>
    <w:rsid w:val="004B0788"/>
    <w:rsid w:val="004B1941"/>
    <w:rsid w:val="004C576B"/>
    <w:rsid w:val="004F110E"/>
    <w:rsid w:val="00526DF5"/>
    <w:rsid w:val="00550089"/>
    <w:rsid w:val="005620F9"/>
    <w:rsid w:val="005628D7"/>
    <w:rsid w:val="00563F46"/>
    <w:rsid w:val="0058491E"/>
    <w:rsid w:val="005C16E8"/>
    <w:rsid w:val="005C7D0E"/>
    <w:rsid w:val="005D7047"/>
    <w:rsid w:val="005E237A"/>
    <w:rsid w:val="006023D6"/>
    <w:rsid w:val="00610AFC"/>
    <w:rsid w:val="00615CA4"/>
    <w:rsid w:val="0062671E"/>
    <w:rsid w:val="00631364"/>
    <w:rsid w:val="0063484E"/>
    <w:rsid w:val="00650EE6"/>
    <w:rsid w:val="00657DD4"/>
    <w:rsid w:val="00674727"/>
    <w:rsid w:val="00676376"/>
    <w:rsid w:val="006C6C7C"/>
    <w:rsid w:val="006F17DC"/>
    <w:rsid w:val="007254BF"/>
    <w:rsid w:val="007329DC"/>
    <w:rsid w:val="00740136"/>
    <w:rsid w:val="00750175"/>
    <w:rsid w:val="00764163"/>
    <w:rsid w:val="00766211"/>
    <w:rsid w:val="00770094"/>
    <w:rsid w:val="00781C53"/>
    <w:rsid w:val="00792A07"/>
    <w:rsid w:val="00794BD3"/>
    <w:rsid w:val="007C02C6"/>
    <w:rsid w:val="007C3905"/>
    <w:rsid w:val="007D0263"/>
    <w:rsid w:val="007D69F2"/>
    <w:rsid w:val="0082610F"/>
    <w:rsid w:val="00843302"/>
    <w:rsid w:val="00884897"/>
    <w:rsid w:val="00885794"/>
    <w:rsid w:val="008B4163"/>
    <w:rsid w:val="008B7EDC"/>
    <w:rsid w:val="008C0F52"/>
    <w:rsid w:val="008C1799"/>
    <w:rsid w:val="008C5F16"/>
    <w:rsid w:val="008D43CA"/>
    <w:rsid w:val="008E5697"/>
    <w:rsid w:val="00901889"/>
    <w:rsid w:val="009023D1"/>
    <w:rsid w:val="00902E36"/>
    <w:rsid w:val="009129B7"/>
    <w:rsid w:val="00933DB8"/>
    <w:rsid w:val="00967A01"/>
    <w:rsid w:val="009728FB"/>
    <w:rsid w:val="00980E05"/>
    <w:rsid w:val="00987E39"/>
    <w:rsid w:val="00994FB3"/>
    <w:rsid w:val="009A5884"/>
    <w:rsid w:val="009B3502"/>
    <w:rsid w:val="009B39D0"/>
    <w:rsid w:val="009B48B0"/>
    <w:rsid w:val="009C0801"/>
    <w:rsid w:val="009C17E8"/>
    <w:rsid w:val="009D78D6"/>
    <w:rsid w:val="009E0090"/>
    <w:rsid w:val="009F392A"/>
    <w:rsid w:val="009F53A6"/>
    <w:rsid w:val="00A12DCE"/>
    <w:rsid w:val="00A2582E"/>
    <w:rsid w:val="00A30D40"/>
    <w:rsid w:val="00A33979"/>
    <w:rsid w:val="00A459AA"/>
    <w:rsid w:val="00A523E4"/>
    <w:rsid w:val="00A57800"/>
    <w:rsid w:val="00A67350"/>
    <w:rsid w:val="00A8122F"/>
    <w:rsid w:val="00AA029B"/>
    <w:rsid w:val="00AB1B9B"/>
    <w:rsid w:val="00AC1B35"/>
    <w:rsid w:val="00AC3511"/>
    <w:rsid w:val="00AC4038"/>
    <w:rsid w:val="00AE2FC2"/>
    <w:rsid w:val="00AF6CA3"/>
    <w:rsid w:val="00B03569"/>
    <w:rsid w:val="00B1521E"/>
    <w:rsid w:val="00B21F22"/>
    <w:rsid w:val="00B25D3F"/>
    <w:rsid w:val="00B261C9"/>
    <w:rsid w:val="00B305AB"/>
    <w:rsid w:val="00B36208"/>
    <w:rsid w:val="00B45D79"/>
    <w:rsid w:val="00B54706"/>
    <w:rsid w:val="00B7178D"/>
    <w:rsid w:val="00B72222"/>
    <w:rsid w:val="00B94EBD"/>
    <w:rsid w:val="00B95EB6"/>
    <w:rsid w:val="00BB24B5"/>
    <w:rsid w:val="00BB3BAC"/>
    <w:rsid w:val="00BC2AAF"/>
    <w:rsid w:val="00BD20DE"/>
    <w:rsid w:val="00BD351A"/>
    <w:rsid w:val="00BE7FE4"/>
    <w:rsid w:val="00BF496E"/>
    <w:rsid w:val="00C25021"/>
    <w:rsid w:val="00C53D96"/>
    <w:rsid w:val="00C5552D"/>
    <w:rsid w:val="00C657D7"/>
    <w:rsid w:val="00C80051"/>
    <w:rsid w:val="00C83FA4"/>
    <w:rsid w:val="00C9235B"/>
    <w:rsid w:val="00C94D57"/>
    <w:rsid w:val="00C95C30"/>
    <w:rsid w:val="00CA3B83"/>
    <w:rsid w:val="00CD0528"/>
    <w:rsid w:val="00CD0F90"/>
    <w:rsid w:val="00CF595F"/>
    <w:rsid w:val="00D07437"/>
    <w:rsid w:val="00D1108B"/>
    <w:rsid w:val="00D25DFE"/>
    <w:rsid w:val="00D34C25"/>
    <w:rsid w:val="00D356C6"/>
    <w:rsid w:val="00D37709"/>
    <w:rsid w:val="00D61814"/>
    <w:rsid w:val="00D85166"/>
    <w:rsid w:val="00D86C71"/>
    <w:rsid w:val="00D90702"/>
    <w:rsid w:val="00DA67CB"/>
    <w:rsid w:val="00DE1072"/>
    <w:rsid w:val="00DE382B"/>
    <w:rsid w:val="00E03FA8"/>
    <w:rsid w:val="00E04ED5"/>
    <w:rsid w:val="00E1130D"/>
    <w:rsid w:val="00E156AA"/>
    <w:rsid w:val="00E37349"/>
    <w:rsid w:val="00E55790"/>
    <w:rsid w:val="00E570C8"/>
    <w:rsid w:val="00E62D83"/>
    <w:rsid w:val="00E96DFE"/>
    <w:rsid w:val="00E979B8"/>
    <w:rsid w:val="00EA42C5"/>
    <w:rsid w:val="00EC2591"/>
    <w:rsid w:val="00EC3ADE"/>
    <w:rsid w:val="00EC7603"/>
    <w:rsid w:val="00ED7E8F"/>
    <w:rsid w:val="00EE4239"/>
    <w:rsid w:val="00EE5A17"/>
    <w:rsid w:val="00EF0657"/>
    <w:rsid w:val="00EF19CC"/>
    <w:rsid w:val="00EF68D1"/>
    <w:rsid w:val="00F229F2"/>
    <w:rsid w:val="00F23328"/>
    <w:rsid w:val="00F62C3D"/>
    <w:rsid w:val="00F80DFB"/>
    <w:rsid w:val="00F97EEE"/>
    <w:rsid w:val="00FC42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3C818"/>
  <w15:chartTrackingRefBased/>
  <w15:docId w15:val="{3F7EDC1C-35C0-42D0-A8ED-1A023ADF7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F17DC"/>
    <w:pPr>
      <w:keepNext/>
      <w:keepLines/>
      <w:spacing w:before="240" w:after="0"/>
      <w:outlineLvl w:val="0"/>
    </w:pPr>
    <w:rPr>
      <w:rFonts w:ascii="Arial" w:eastAsiaTheme="majorEastAsia" w:hAnsi="Arial" w:cstheme="majorBidi"/>
      <w:b/>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764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6F17DC"/>
    <w:rPr>
      <w:rFonts w:ascii="Arial" w:eastAsiaTheme="majorEastAsia" w:hAnsi="Arial" w:cstheme="majorBidi"/>
      <w:b/>
      <w:sz w:val="32"/>
      <w:szCs w:val="32"/>
    </w:rPr>
  </w:style>
  <w:style w:type="paragraph" w:styleId="StandardWeb">
    <w:name w:val="Normal (Web)"/>
    <w:basedOn w:val="Standard"/>
    <w:uiPriority w:val="99"/>
    <w:semiHidden/>
    <w:unhideWhenUsed/>
    <w:rsid w:val="002643A6"/>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styleId="Kommentarzeichen">
    <w:name w:val="annotation reference"/>
    <w:basedOn w:val="Absatz-Standardschriftart"/>
    <w:uiPriority w:val="99"/>
    <w:semiHidden/>
    <w:unhideWhenUsed/>
    <w:rsid w:val="002643A6"/>
    <w:rPr>
      <w:sz w:val="16"/>
      <w:szCs w:val="16"/>
    </w:rPr>
  </w:style>
  <w:style w:type="paragraph" w:styleId="Kommentartext">
    <w:name w:val="annotation text"/>
    <w:basedOn w:val="Standard"/>
    <w:link w:val="KommentartextZchn"/>
    <w:uiPriority w:val="99"/>
    <w:semiHidden/>
    <w:unhideWhenUsed/>
    <w:rsid w:val="002643A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643A6"/>
    <w:rPr>
      <w:sz w:val="20"/>
      <w:szCs w:val="20"/>
    </w:rPr>
  </w:style>
  <w:style w:type="paragraph" w:styleId="Kommentarthema">
    <w:name w:val="annotation subject"/>
    <w:basedOn w:val="Kommentartext"/>
    <w:next w:val="Kommentartext"/>
    <w:link w:val="KommentarthemaZchn"/>
    <w:uiPriority w:val="99"/>
    <w:semiHidden/>
    <w:unhideWhenUsed/>
    <w:rsid w:val="002643A6"/>
    <w:rPr>
      <w:b/>
      <w:bCs/>
    </w:rPr>
  </w:style>
  <w:style w:type="character" w:customStyle="1" w:styleId="KommentarthemaZchn">
    <w:name w:val="Kommentarthema Zchn"/>
    <w:basedOn w:val="KommentartextZchn"/>
    <w:link w:val="Kommentarthema"/>
    <w:uiPriority w:val="99"/>
    <w:semiHidden/>
    <w:rsid w:val="002643A6"/>
    <w:rPr>
      <w:b/>
      <w:bCs/>
      <w:sz w:val="20"/>
      <w:szCs w:val="20"/>
    </w:rPr>
  </w:style>
  <w:style w:type="paragraph" w:styleId="Sprechblasentext">
    <w:name w:val="Balloon Text"/>
    <w:basedOn w:val="Standard"/>
    <w:link w:val="SprechblasentextZchn"/>
    <w:uiPriority w:val="99"/>
    <w:semiHidden/>
    <w:unhideWhenUsed/>
    <w:rsid w:val="002643A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643A6"/>
    <w:rPr>
      <w:rFonts w:ascii="Segoe UI" w:hAnsi="Segoe UI" w:cs="Segoe UI"/>
      <w:sz w:val="18"/>
      <w:szCs w:val="18"/>
    </w:rPr>
  </w:style>
  <w:style w:type="paragraph" w:styleId="Listenabsatz">
    <w:name w:val="List Paragraph"/>
    <w:basedOn w:val="Standard"/>
    <w:uiPriority w:val="34"/>
    <w:qFormat/>
    <w:rsid w:val="00B305AB"/>
    <w:pPr>
      <w:spacing w:after="0" w:line="240" w:lineRule="auto"/>
      <w:ind w:left="720"/>
      <w:contextualSpacing/>
    </w:pPr>
    <w:rPr>
      <w:sz w:val="24"/>
      <w:szCs w:val="24"/>
    </w:rPr>
  </w:style>
  <w:style w:type="paragraph" w:customStyle="1" w:styleId="DRVBStandardStrg">
    <w:name w:val="DR/VB_Standard (Strg+^)"/>
    <w:qFormat/>
    <w:rsid w:val="00C94D57"/>
    <w:pPr>
      <w:keepNext/>
      <w:spacing w:after="0" w:line="264" w:lineRule="auto"/>
    </w:pPr>
    <w:rPr>
      <w:rFonts w:ascii="Sparkasse Rg" w:eastAsia="Times New Roman" w:hAnsi="Sparkasse Rg" w:cs="Times New Roman"/>
      <w:szCs w:val="20"/>
      <w:lang w:eastAsia="de-DE"/>
    </w:rPr>
  </w:style>
  <w:style w:type="character" w:styleId="Hyperlink">
    <w:name w:val="Hyperlink"/>
    <w:basedOn w:val="Absatz-Standardschriftart"/>
    <w:uiPriority w:val="99"/>
    <w:unhideWhenUsed/>
    <w:rsid w:val="001A774E"/>
    <w:rPr>
      <w:color w:val="0000FF" w:themeColor="hyperlink"/>
      <w:u w:val="single"/>
    </w:rPr>
  </w:style>
  <w:style w:type="paragraph" w:styleId="berarbeitung">
    <w:name w:val="Revision"/>
    <w:hidden/>
    <w:uiPriority w:val="99"/>
    <w:semiHidden/>
    <w:rsid w:val="008B7EDC"/>
    <w:pPr>
      <w:spacing w:after="0" w:line="240" w:lineRule="auto"/>
    </w:pPr>
  </w:style>
  <w:style w:type="character" w:styleId="NichtaufgelsteErwhnung">
    <w:name w:val="Unresolved Mention"/>
    <w:basedOn w:val="Absatz-Standardschriftart"/>
    <w:uiPriority w:val="99"/>
    <w:semiHidden/>
    <w:unhideWhenUsed/>
    <w:rsid w:val="008B7EDC"/>
    <w:rPr>
      <w:color w:val="605E5C"/>
      <w:shd w:val="clear" w:color="auto" w:fill="E1DFDD"/>
    </w:rPr>
  </w:style>
  <w:style w:type="paragraph" w:styleId="Kopfzeile">
    <w:name w:val="header"/>
    <w:basedOn w:val="Standard"/>
    <w:link w:val="KopfzeileZchn"/>
    <w:uiPriority w:val="99"/>
    <w:unhideWhenUsed/>
    <w:rsid w:val="0074013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0136"/>
  </w:style>
  <w:style w:type="paragraph" w:styleId="Fuzeile">
    <w:name w:val="footer"/>
    <w:basedOn w:val="Standard"/>
    <w:link w:val="FuzeileZchn"/>
    <w:uiPriority w:val="99"/>
    <w:unhideWhenUsed/>
    <w:rsid w:val="0074013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0136"/>
  </w:style>
  <w:style w:type="character" w:styleId="BesuchterLink">
    <w:name w:val="FollowedHyperlink"/>
    <w:basedOn w:val="Absatz-Standardschriftart"/>
    <w:uiPriority w:val="99"/>
    <w:semiHidden/>
    <w:unhideWhenUsed/>
    <w:rsid w:val="005E23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0649">
      <w:bodyDiv w:val="1"/>
      <w:marLeft w:val="0"/>
      <w:marRight w:val="0"/>
      <w:marTop w:val="0"/>
      <w:marBottom w:val="0"/>
      <w:divBdr>
        <w:top w:val="none" w:sz="0" w:space="0" w:color="auto"/>
        <w:left w:val="none" w:sz="0" w:space="0" w:color="auto"/>
        <w:bottom w:val="none" w:sz="0" w:space="0" w:color="auto"/>
        <w:right w:val="none" w:sz="0" w:space="0" w:color="auto"/>
      </w:divBdr>
    </w:div>
    <w:div w:id="719522085">
      <w:bodyDiv w:val="1"/>
      <w:marLeft w:val="0"/>
      <w:marRight w:val="0"/>
      <w:marTop w:val="0"/>
      <w:marBottom w:val="0"/>
      <w:divBdr>
        <w:top w:val="none" w:sz="0" w:space="0" w:color="auto"/>
        <w:left w:val="none" w:sz="0" w:space="0" w:color="auto"/>
        <w:bottom w:val="none" w:sz="0" w:space="0" w:color="auto"/>
        <w:right w:val="none" w:sz="0" w:space="0" w:color="auto"/>
      </w:divBdr>
    </w:div>
    <w:div w:id="1020397516">
      <w:bodyDiv w:val="1"/>
      <w:marLeft w:val="0"/>
      <w:marRight w:val="0"/>
      <w:marTop w:val="0"/>
      <w:marBottom w:val="0"/>
      <w:divBdr>
        <w:top w:val="none" w:sz="0" w:space="0" w:color="auto"/>
        <w:left w:val="none" w:sz="0" w:space="0" w:color="auto"/>
        <w:bottom w:val="none" w:sz="0" w:space="0" w:color="auto"/>
        <w:right w:val="none" w:sz="0" w:space="0" w:color="auto"/>
      </w:divBdr>
    </w:div>
    <w:div w:id="1257707512">
      <w:bodyDiv w:val="1"/>
      <w:marLeft w:val="0"/>
      <w:marRight w:val="0"/>
      <w:marTop w:val="0"/>
      <w:marBottom w:val="0"/>
      <w:divBdr>
        <w:top w:val="none" w:sz="0" w:space="0" w:color="auto"/>
        <w:left w:val="none" w:sz="0" w:space="0" w:color="auto"/>
        <w:bottom w:val="none" w:sz="0" w:space="0" w:color="auto"/>
        <w:right w:val="none" w:sz="0" w:space="0" w:color="auto"/>
      </w:divBdr>
    </w:div>
    <w:div w:id="1402101226">
      <w:bodyDiv w:val="1"/>
      <w:marLeft w:val="0"/>
      <w:marRight w:val="0"/>
      <w:marTop w:val="0"/>
      <w:marBottom w:val="0"/>
      <w:divBdr>
        <w:top w:val="none" w:sz="0" w:space="0" w:color="auto"/>
        <w:left w:val="none" w:sz="0" w:space="0" w:color="auto"/>
        <w:bottom w:val="none" w:sz="0" w:space="0" w:color="auto"/>
        <w:right w:val="none" w:sz="0" w:space="0" w:color="auto"/>
      </w:divBdr>
      <w:divsChild>
        <w:div w:id="1796828033">
          <w:marLeft w:val="0"/>
          <w:marRight w:val="0"/>
          <w:marTop w:val="0"/>
          <w:marBottom w:val="0"/>
          <w:divBdr>
            <w:top w:val="none" w:sz="0" w:space="0" w:color="auto"/>
            <w:left w:val="none" w:sz="0" w:space="0" w:color="auto"/>
            <w:bottom w:val="none" w:sz="0" w:space="0" w:color="auto"/>
            <w:right w:val="none" w:sz="0" w:space="0" w:color="auto"/>
          </w:divBdr>
          <w:divsChild>
            <w:div w:id="185533189">
              <w:marLeft w:val="0"/>
              <w:marRight w:val="0"/>
              <w:marTop w:val="0"/>
              <w:marBottom w:val="0"/>
              <w:divBdr>
                <w:top w:val="none" w:sz="0" w:space="0" w:color="auto"/>
                <w:left w:val="none" w:sz="0" w:space="0" w:color="auto"/>
                <w:bottom w:val="none" w:sz="0" w:space="0" w:color="auto"/>
                <w:right w:val="none" w:sz="0" w:space="0" w:color="auto"/>
              </w:divBdr>
              <w:divsChild>
                <w:div w:id="9983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22207">
      <w:bodyDiv w:val="1"/>
      <w:marLeft w:val="0"/>
      <w:marRight w:val="0"/>
      <w:marTop w:val="0"/>
      <w:marBottom w:val="0"/>
      <w:divBdr>
        <w:top w:val="none" w:sz="0" w:space="0" w:color="auto"/>
        <w:left w:val="none" w:sz="0" w:space="0" w:color="auto"/>
        <w:bottom w:val="none" w:sz="0" w:space="0" w:color="auto"/>
        <w:right w:val="none" w:sz="0" w:space="0" w:color="auto"/>
      </w:divBdr>
    </w:div>
    <w:div w:id="1975796240">
      <w:bodyDiv w:val="1"/>
      <w:marLeft w:val="0"/>
      <w:marRight w:val="0"/>
      <w:marTop w:val="0"/>
      <w:marBottom w:val="0"/>
      <w:divBdr>
        <w:top w:val="none" w:sz="0" w:space="0" w:color="auto"/>
        <w:left w:val="none" w:sz="0" w:space="0" w:color="auto"/>
        <w:bottom w:val="none" w:sz="0" w:space="0" w:color="auto"/>
        <w:right w:val="none" w:sz="0" w:space="0" w:color="auto"/>
      </w:divBdr>
    </w:div>
    <w:div w:id="212418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lex.europa.eu/legal-content/DE/TXT/PDF/?uri=CELEX:32022R1288&amp;from=DE" TargetMode="External"/><Relationship Id="rId5" Type="http://schemas.openxmlformats.org/officeDocument/2006/relationships/styles" Target="styles.xml"/><Relationship Id="rId10" Type="http://schemas.openxmlformats.org/officeDocument/2006/relationships/hyperlink" Target="https://eur-lex.europa.eu/legal-content/DE/TXT/PDF/?uri=CELEX:32019R2088&amp;from=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610cbf-ae48-4557-9b10-618503efa1b2" xsi:nil="true"/>
    <lcf76f155ced4ddcb4097134ff3c332f xmlns="6bcac01f-2ffb-4645-9588-0d35b44534b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5562063A944FA4086FE0FD387288954" ma:contentTypeVersion="18" ma:contentTypeDescription="Ein neues Dokument erstellen." ma:contentTypeScope="" ma:versionID="bc1b9e8d78cbab26bcf3f1259cadb913">
  <xsd:schema xmlns:xsd="http://www.w3.org/2001/XMLSchema" xmlns:xs="http://www.w3.org/2001/XMLSchema" xmlns:p="http://schemas.microsoft.com/office/2006/metadata/properties" xmlns:ns2="6bcac01f-2ffb-4645-9588-0d35b44534be" xmlns:ns3="b4610cbf-ae48-4557-9b10-618503efa1b2" targetNamespace="http://schemas.microsoft.com/office/2006/metadata/properties" ma:root="true" ma:fieldsID="ed96c91ef00f74fb338d4eece4108895" ns2:_="" ns3:_="">
    <xsd:import namespace="6bcac01f-2ffb-4645-9588-0d35b44534be"/>
    <xsd:import namespace="b4610cbf-ae48-4557-9b10-618503efa1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ac01f-2ffb-4645-9588-0d35b4453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d4e950ff-25e2-488c-a026-2ac92444dc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10cbf-ae48-4557-9b10-618503efa1b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0900f94-06f2-4776-903c-6c880f3e2bae}" ma:internalName="TaxCatchAll" ma:showField="CatchAllData" ma:web="b4610cbf-ae48-4557-9b10-618503efa1b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72472F-9257-41B9-A2A1-EEF1AA0E3E55}">
  <ds:schemaRefs>
    <ds:schemaRef ds:uri="http://schemas.microsoft.com/office/2006/metadata/properties"/>
    <ds:schemaRef ds:uri="http://schemas.microsoft.com/office/infopath/2007/PartnerControls"/>
    <ds:schemaRef ds:uri="db8af2cb-30ac-4db2-b45f-59c8c05d036c"/>
    <ds:schemaRef ds:uri="10d6b95e-9933-45c0-8b93-8f3e62a49f35"/>
  </ds:schemaRefs>
</ds:datastoreItem>
</file>

<file path=customXml/itemProps2.xml><?xml version="1.0" encoding="utf-8"?>
<ds:datastoreItem xmlns:ds="http://schemas.openxmlformats.org/officeDocument/2006/customXml" ds:itemID="{90330058-F29A-46E7-80C6-AF7A86D1A823}"/>
</file>

<file path=customXml/itemProps3.xml><?xml version="1.0" encoding="utf-8"?>
<ds:datastoreItem xmlns:ds="http://schemas.openxmlformats.org/officeDocument/2006/customXml" ds:itemID="{25B00FAE-F4B9-4CB1-B9F2-83E2249C4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1788</Words>
  <Characters>11271</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Allianz Deutschland</Company>
  <LinksUpToDate>false</LinksUpToDate>
  <CharactersWithSpaces>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office@afw-verband.de</dc:creator>
  <cp:keywords/>
  <dc:description/>
  <cp:lastModifiedBy>Ilonka Büttner (AfW)</cp:lastModifiedBy>
  <cp:revision>27</cp:revision>
  <dcterms:created xsi:type="dcterms:W3CDTF">2023-01-30T08:54:00Z</dcterms:created>
  <dcterms:modified xsi:type="dcterms:W3CDTF">2023-02-16T07:14:00Z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0x01010065562063A944FA4086FE0FD387288954</vt:lpwstr>
  </property>
  <property fmtid="{D5CDD505-2E9C-101B-9397-08002B2CF9AE}" pid="3" name="MediaServiceImageTags">
    <vt:lpwstr/>
  </property>
</Properties>
</file>